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D95" w:rsidRPr="003C568F" w:rsidRDefault="008C4D95">
      <w:pPr>
        <w:spacing w:line="579" w:lineRule="exact"/>
        <w:jc w:val="left"/>
        <w:rPr>
          <w:rFonts w:eastAsia="黑体"/>
          <w:sz w:val="28"/>
        </w:rPr>
      </w:pPr>
      <w:bookmarkStart w:id="0" w:name="_GoBack"/>
      <w:bookmarkEnd w:id="0"/>
      <w:r w:rsidRPr="003C568F">
        <w:rPr>
          <w:rFonts w:eastAsia="黑体"/>
          <w:sz w:val="28"/>
        </w:rPr>
        <w:t>附件</w:t>
      </w:r>
      <w:r w:rsidR="00242FAA" w:rsidRPr="003C568F">
        <w:rPr>
          <w:rFonts w:eastAsia="黑体" w:hint="eastAsia"/>
          <w:sz w:val="28"/>
        </w:rPr>
        <w:t>1</w:t>
      </w:r>
    </w:p>
    <w:p w:rsidR="008C4D95" w:rsidRDefault="008C4D95">
      <w:pPr>
        <w:spacing w:line="579" w:lineRule="exact"/>
        <w:jc w:val="left"/>
        <w:rPr>
          <w:rFonts w:eastAsia="方正小标宋简体"/>
          <w:sz w:val="44"/>
          <w:szCs w:val="44"/>
        </w:rPr>
      </w:pPr>
    </w:p>
    <w:p w:rsidR="008C4D95" w:rsidRDefault="008C4D95">
      <w:pPr>
        <w:spacing w:line="579" w:lineRule="exact"/>
        <w:jc w:val="center"/>
        <w:rPr>
          <w:rFonts w:eastAsia="方正小标宋简体"/>
          <w:sz w:val="36"/>
          <w:szCs w:val="36"/>
        </w:rPr>
      </w:pPr>
      <w:r>
        <w:rPr>
          <w:rFonts w:eastAsia="方正小标宋简体"/>
          <w:sz w:val="36"/>
          <w:szCs w:val="36"/>
        </w:rPr>
        <w:t>2021</w:t>
      </w:r>
      <w:r>
        <w:rPr>
          <w:rFonts w:eastAsia="方正小标宋简体"/>
          <w:sz w:val="36"/>
          <w:szCs w:val="36"/>
        </w:rPr>
        <w:t>年度浙江省</w:t>
      </w:r>
      <w:r>
        <w:rPr>
          <w:rFonts w:eastAsia="方正小标宋简体" w:hint="eastAsia"/>
          <w:sz w:val="36"/>
          <w:szCs w:val="36"/>
        </w:rPr>
        <w:t>社科规划“浙江省</w:t>
      </w:r>
      <w:r>
        <w:rPr>
          <w:rFonts w:eastAsia="方正小标宋简体"/>
          <w:sz w:val="36"/>
          <w:szCs w:val="36"/>
        </w:rPr>
        <w:t>推进长三角一体化发展</w:t>
      </w:r>
      <w:r>
        <w:rPr>
          <w:rFonts w:eastAsia="方正小标宋简体" w:hint="eastAsia"/>
          <w:sz w:val="36"/>
          <w:szCs w:val="36"/>
        </w:rPr>
        <w:t>”专项</w:t>
      </w:r>
      <w:r>
        <w:rPr>
          <w:rFonts w:eastAsia="方正小标宋简体"/>
          <w:sz w:val="36"/>
          <w:szCs w:val="36"/>
        </w:rPr>
        <w:t>课题选题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1843"/>
        <w:gridCol w:w="5661"/>
        <w:gridCol w:w="5670"/>
      </w:tblGrid>
      <w:tr w:rsidR="008C4D95">
        <w:trPr>
          <w:trHeight w:val="737"/>
          <w:tblHeader/>
          <w:jc w:val="center"/>
        </w:trPr>
        <w:tc>
          <w:tcPr>
            <w:tcW w:w="677" w:type="dxa"/>
            <w:vAlign w:val="center"/>
          </w:tcPr>
          <w:p w:rsidR="008C4D95" w:rsidRDefault="008C4D95">
            <w:pPr>
              <w:widowControl/>
              <w:spacing w:line="360" w:lineRule="exact"/>
              <w:jc w:val="center"/>
              <w:rPr>
                <w:rFonts w:ascii="黑体" w:eastAsia="黑体" w:hAnsi="黑体" w:cs="黑体"/>
                <w:sz w:val="24"/>
                <w:szCs w:val="24"/>
              </w:rPr>
            </w:pPr>
            <w:r>
              <w:rPr>
                <w:rFonts w:ascii="黑体" w:eastAsia="黑体" w:hAnsi="黑体" w:cs="黑体" w:hint="eastAsia"/>
                <w:color w:val="000000"/>
                <w:kern w:val="0"/>
                <w:sz w:val="24"/>
                <w:szCs w:val="24"/>
              </w:rPr>
              <w:t>序号</w:t>
            </w:r>
          </w:p>
        </w:tc>
        <w:tc>
          <w:tcPr>
            <w:tcW w:w="1843" w:type="dxa"/>
            <w:vAlign w:val="center"/>
          </w:tcPr>
          <w:p w:rsidR="008C4D95" w:rsidRDefault="008C4D95">
            <w:pPr>
              <w:widowControl/>
              <w:spacing w:line="36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课题名称</w:t>
            </w:r>
          </w:p>
        </w:tc>
        <w:tc>
          <w:tcPr>
            <w:tcW w:w="5661" w:type="dxa"/>
            <w:vAlign w:val="center"/>
          </w:tcPr>
          <w:p w:rsidR="008C4D95" w:rsidRDefault="008C4D95">
            <w:pPr>
              <w:widowControl/>
              <w:spacing w:line="360" w:lineRule="exact"/>
              <w:jc w:val="center"/>
              <w:rPr>
                <w:rFonts w:ascii="黑体" w:eastAsia="黑体" w:hAnsi="黑体" w:cs="黑体"/>
                <w:sz w:val="24"/>
                <w:szCs w:val="24"/>
              </w:rPr>
            </w:pPr>
            <w:r>
              <w:rPr>
                <w:rFonts w:ascii="黑体" w:eastAsia="黑体" w:hAnsi="黑体" w:cs="黑体" w:hint="eastAsia"/>
                <w:color w:val="000000"/>
                <w:kern w:val="0"/>
                <w:sz w:val="24"/>
                <w:szCs w:val="24"/>
              </w:rPr>
              <w:t>研究依据</w:t>
            </w:r>
          </w:p>
        </w:tc>
        <w:tc>
          <w:tcPr>
            <w:tcW w:w="5670" w:type="dxa"/>
            <w:vAlign w:val="center"/>
          </w:tcPr>
          <w:p w:rsidR="008C4D95" w:rsidRDefault="008C4D95">
            <w:pPr>
              <w:widowControl/>
              <w:spacing w:line="360" w:lineRule="exact"/>
              <w:jc w:val="center"/>
              <w:rPr>
                <w:rFonts w:ascii="黑体" w:eastAsia="黑体" w:hAnsi="黑体" w:cs="黑体"/>
                <w:sz w:val="24"/>
                <w:szCs w:val="24"/>
              </w:rPr>
            </w:pPr>
            <w:r>
              <w:rPr>
                <w:rFonts w:ascii="黑体" w:eastAsia="黑体" w:hAnsi="黑体" w:cs="黑体" w:hint="eastAsia"/>
                <w:color w:val="000000"/>
                <w:kern w:val="0"/>
                <w:sz w:val="24"/>
                <w:szCs w:val="24"/>
              </w:rPr>
              <w:t>主要研究内容</w:t>
            </w:r>
          </w:p>
        </w:tc>
      </w:tr>
      <w:tr w:rsidR="008C4D95">
        <w:trPr>
          <w:trHeight w:val="737"/>
          <w:jc w:val="center"/>
        </w:trPr>
        <w:tc>
          <w:tcPr>
            <w:tcW w:w="677" w:type="dxa"/>
            <w:vAlign w:val="center"/>
          </w:tcPr>
          <w:p w:rsidR="008C4D95" w:rsidRDefault="008C4D95">
            <w:pPr>
              <w:widowControl/>
              <w:spacing w:line="360" w:lineRule="exact"/>
              <w:jc w:val="center"/>
              <w:rPr>
                <w:sz w:val="24"/>
                <w:szCs w:val="24"/>
              </w:rPr>
            </w:pPr>
            <w:r>
              <w:rPr>
                <w:sz w:val="24"/>
                <w:szCs w:val="24"/>
              </w:rPr>
              <w:t>1</w:t>
            </w:r>
          </w:p>
        </w:tc>
        <w:tc>
          <w:tcPr>
            <w:tcW w:w="1843" w:type="dxa"/>
            <w:vAlign w:val="center"/>
          </w:tcPr>
          <w:p w:rsidR="008C4D95" w:rsidRDefault="008C4D95">
            <w:pPr>
              <w:widowControl/>
              <w:spacing w:line="360" w:lineRule="exact"/>
              <w:rPr>
                <w:sz w:val="24"/>
                <w:szCs w:val="24"/>
              </w:rPr>
            </w:pPr>
            <w:r>
              <w:rPr>
                <w:color w:val="000000"/>
                <w:kern w:val="0"/>
                <w:sz w:val="24"/>
                <w:szCs w:val="24"/>
              </w:rPr>
              <w:t>长三角地区主要城市人口变化特征、影响与对策研究</w:t>
            </w:r>
          </w:p>
        </w:tc>
        <w:tc>
          <w:tcPr>
            <w:tcW w:w="5661" w:type="dxa"/>
            <w:vAlign w:val="center"/>
          </w:tcPr>
          <w:p w:rsidR="008C4D95" w:rsidRDefault="008C4D95">
            <w:pPr>
              <w:widowControl/>
              <w:spacing w:line="360" w:lineRule="exact"/>
              <w:ind w:firstLine="420"/>
              <w:rPr>
                <w:sz w:val="24"/>
                <w:szCs w:val="24"/>
              </w:rPr>
            </w:pPr>
            <w:r>
              <w:rPr>
                <w:sz w:val="24"/>
                <w:szCs w:val="24"/>
              </w:rPr>
              <w:t>长三角地区凭借优质的社会公共资源和良好的就业机会，对流动人口有强大的吸引力，常住人口仍呈现快速增长态势，且主要集聚于各个中心城市。为此，有必要通过数据分析（结合第七次人口普查数据），把握长三角中心城市（特别是我省环杭州湾地区</w:t>
            </w:r>
            <w:r>
              <w:rPr>
                <w:sz w:val="24"/>
                <w:szCs w:val="24"/>
              </w:rPr>
              <w:t>6</w:t>
            </w:r>
            <w:r>
              <w:rPr>
                <w:sz w:val="24"/>
                <w:szCs w:val="24"/>
              </w:rPr>
              <w:t>个设区市）的人口变化特征，研究由此对经济和社会带来的深刻影响，提出推动人口高质量发展的对策。</w:t>
            </w:r>
          </w:p>
        </w:tc>
        <w:tc>
          <w:tcPr>
            <w:tcW w:w="5670" w:type="dxa"/>
            <w:vAlign w:val="center"/>
          </w:tcPr>
          <w:p w:rsidR="008C4D95" w:rsidRDefault="008C4D95">
            <w:pPr>
              <w:widowControl/>
              <w:spacing w:line="360" w:lineRule="exact"/>
              <w:ind w:firstLine="420"/>
              <w:rPr>
                <w:sz w:val="24"/>
                <w:szCs w:val="24"/>
              </w:rPr>
            </w:pPr>
            <w:r>
              <w:rPr>
                <w:sz w:val="24"/>
                <w:szCs w:val="24"/>
              </w:rPr>
              <w:t>一是长三角地区主要城市的人口状况分析（规模、结构、分布、素质、来源地等）；二是长三角地区主要城市的人口变化趋势研究；三是长三角地区主要城市人口变化的主要特征及对经济社会发展带来的影响研究；四是</w:t>
            </w:r>
            <w:proofErr w:type="gramStart"/>
            <w:r>
              <w:rPr>
                <w:sz w:val="24"/>
                <w:szCs w:val="24"/>
              </w:rPr>
              <w:t>谋划长</w:t>
            </w:r>
            <w:proofErr w:type="gramEnd"/>
            <w:r>
              <w:rPr>
                <w:sz w:val="24"/>
                <w:szCs w:val="24"/>
              </w:rPr>
              <w:t>三角地区人口高质量发展的路径；五是加强和改进我省特别是环杭州湾地区人口管理和服务工作的重点思路和对策措施。</w:t>
            </w:r>
          </w:p>
        </w:tc>
      </w:tr>
      <w:tr w:rsidR="008C4D95">
        <w:trPr>
          <w:trHeight w:val="737"/>
          <w:jc w:val="center"/>
        </w:trPr>
        <w:tc>
          <w:tcPr>
            <w:tcW w:w="677" w:type="dxa"/>
            <w:vAlign w:val="center"/>
          </w:tcPr>
          <w:p w:rsidR="008C4D95" w:rsidRDefault="008C4D95">
            <w:pPr>
              <w:widowControl/>
              <w:spacing w:line="360" w:lineRule="exact"/>
              <w:jc w:val="center"/>
              <w:rPr>
                <w:sz w:val="24"/>
                <w:szCs w:val="24"/>
              </w:rPr>
            </w:pPr>
            <w:r>
              <w:rPr>
                <w:sz w:val="24"/>
                <w:szCs w:val="24"/>
              </w:rPr>
              <w:t>2</w:t>
            </w:r>
          </w:p>
        </w:tc>
        <w:tc>
          <w:tcPr>
            <w:tcW w:w="1843" w:type="dxa"/>
            <w:vAlign w:val="center"/>
          </w:tcPr>
          <w:p w:rsidR="008C4D95" w:rsidRDefault="008C4D95">
            <w:pPr>
              <w:widowControl/>
              <w:spacing w:line="360" w:lineRule="exact"/>
              <w:rPr>
                <w:color w:val="000000"/>
                <w:kern w:val="0"/>
                <w:sz w:val="24"/>
                <w:szCs w:val="24"/>
              </w:rPr>
            </w:pPr>
            <w:r>
              <w:rPr>
                <w:sz w:val="24"/>
                <w:szCs w:val="24"/>
              </w:rPr>
              <w:t>长三角地区平台经济规范管理研究</w:t>
            </w:r>
          </w:p>
        </w:tc>
        <w:tc>
          <w:tcPr>
            <w:tcW w:w="5661" w:type="dxa"/>
            <w:vAlign w:val="center"/>
          </w:tcPr>
          <w:p w:rsidR="008C4D95" w:rsidRDefault="008C4D95">
            <w:pPr>
              <w:widowControl/>
              <w:spacing w:line="360" w:lineRule="exact"/>
              <w:ind w:firstLine="420"/>
              <w:rPr>
                <w:sz w:val="24"/>
                <w:szCs w:val="24"/>
              </w:rPr>
            </w:pPr>
            <w:r>
              <w:rPr>
                <w:sz w:val="24"/>
                <w:szCs w:val="24"/>
              </w:rPr>
              <w:t>去年以来，以习近平同志为核心的党中央对促进平台经济规范健康持续发展</w:t>
            </w:r>
            <w:proofErr w:type="gramStart"/>
            <w:r>
              <w:rPr>
                <w:sz w:val="24"/>
                <w:szCs w:val="24"/>
              </w:rPr>
              <w:t>作出</w:t>
            </w:r>
            <w:proofErr w:type="gramEnd"/>
            <w:r>
              <w:rPr>
                <w:sz w:val="24"/>
                <w:szCs w:val="24"/>
              </w:rPr>
              <w:t>一系列重要部署。长三角地区作为我国平台经济发展的先行地区和发达地区，必须认真贯彻落实中央部署要求，加强理论研究，提供理论支撑，在整体推进公平竞争、监管创新和推动企业竞争力提升上走在全国前列。</w:t>
            </w:r>
          </w:p>
        </w:tc>
        <w:tc>
          <w:tcPr>
            <w:tcW w:w="5670" w:type="dxa"/>
            <w:vAlign w:val="center"/>
          </w:tcPr>
          <w:p w:rsidR="008C4D95" w:rsidRDefault="008C4D95">
            <w:pPr>
              <w:widowControl/>
              <w:spacing w:line="360" w:lineRule="exact"/>
              <w:ind w:firstLine="420"/>
              <w:rPr>
                <w:sz w:val="24"/>
                <w:szCs w:val="24"/>
              </w:rPr>
            </w:pPr>
            <w:r>
              <w:rPr>
                <w:sz w:val="24"/>
                <w:szCs w:val="24"/>
              </w:rPr>
              <w:t>一是</w:t>
            </w:r>
            <w:proofErr w:type="gramStart"/>
            <w:r>
              <w:rPr>
                <w:sz w:val="24"/>
                <w:szCs w:val="24"/>
              </w:rPr>
              <w:t>分析长</w:t>
            </w:r>
            <w:proofErr w:type="gramEnd"/>
            <w:r>
              <w:rPr>
                <w:sz w:val="24"/>
                <w:szCs w:val="24"/>
              </w:rPr>
              <w:t>三角地区平台经济发展的现状；二是</w:t>
            </w:r>
            <w:proofErr w:type="gramStart"/>
            <w:r>
              <w:rPr>
                <w:sz w:val="24"/>
                <w:szCs w:val="24"/>
              </w:rPr>
              <w:t>研究长</w:t>
            </w:r>
            <w:proofErr w:type="gramEnd"/>
            <w:r>
              <w:rPr>
                <w:sz w:val="24"/>
                <w:szCs w:val="24"/>
              </w:rPr>
              <w:t>三角地区平台经济发展过程中不规范、不合理、不健康的各类问题；三是围绕长三角平台经济发展的特点优势和难点问题，提出共同加强监管促进平台经济规范健康持续发展的政策意见；四是谋划研究浙江先行探索的做法和可行对策，进一步加强长三角地区平台经济治理协作能力。</w:t>
            </w:r>
          </w:p>
        </w:tc>
      </w:tr>
      <w:tr w:rsidR="008C4D95">
        <w:trPr>
          <w:trHeight w:val="737"/>
          <w:jc w:val="center"/>
        </w:trPr>
        <w:tc>
          <w:tcPr>
            <w:tcW w:w="677" w:type="dxa"/>
            <w:vAlign w:val="center"/>
          </w:tcPr>
          <w:p w:rsidR="008C4D95" w:rsidRDefault="008C4D95">
            <w:pPr>
              <w:widowControl/>
              <w:spacing w:line="360" w:lineRule="exact"/>
              <w:jc w:val="center"/>
              <w:rPr>
                <w:sz w:val="24"/>
                <w:szCs w:val="24"/>
              </w:rPr>
            </w:pPr>
            <w:r>
              <w:rPr>
                <w:color w:val="000000"/>
                <w:kern w:val="0"/>
                <w:sz w:val="24"/>
                <w:szCs w:val="24"/>
              </w:rPr>
              <w:t>3</w:t>
            </w:r>
          </w:p>
        </w:tc>
        <w:tc>
          <w:tcPr>
            <w:tcW w:w="1843" w:type="dxa"/>
            <w:vAlign w:val="center"/>
          </w:tcPr>
          <w:p w:rsidR="008C4D95" w:rsidRDefault="008C4D95">
            <w:pPr>
              <w:widowControl/>
              <w:spacing w:line="360" w:lineRule="exact"/>
              <w:rPr>
                <w:color w:val="000000"/>
                <w:kern w:val="0"/>
                <w:sz w:val="24"/>
                <w:szCs w:val="24"/>
              </w:rPr>
            </w:pPr>
            <w:r>
              <w:rPr>
                <w:sz w:val="24"/>
                <w:szCs w:val="24"/>
              </w:rPr>
              <w:t>长三角一体化</w:t>
            </w:r>
            <w:proofErr w:type="gramStart"/>
            <w:r>
              <w:rPr>
                <w:sz w:val="24"/>
                <w:szCs w:val="24"/>
              </w:rPr>
              <w:t>背景下沪苏</w:t>
            </w:r>
            <w:proofErr w:type="gramEnd"/>
            <w:r>
              <w:rPr>
                <w:sz w:val="24"/>
                <w:szCs w:val="24"/>
              </w:rPr>
              <w:t>湖</w:t>
            </w:r>
            <w:proofErr w:type="gramStart"/>
            <w:r>
              <w:rPr>
                <w:sz w:val="24"/>
                <w:szCs w:val="24"/>
              </w:rPr>
              <w:lastRenderedPageBreak/>
              <w:t>芜</w:t>
            </w:r>
            <w:proofErr w:type="gramEnd"/>
            <w:r>
              <w:rPr>
                <w:sz w:val="24"/>
                <w:szCs w:val="24"/>
              </w:rPr>
              <w:t>产业创新带战略性规划研究</w:t>
            </w:r>
          </w:p>
        </w:tc>
        <w:tc>
          <w:tcPr>
            <w:tcW w:w="5661" w:type="dxa"/>
            <w:vAlign w:val="center"/>
          </w:tcPr>
          <w:p w:rsidR="008C4D95" w:rsidRDefault="008C4D95">
            <w:pPr>
              <w:pStyle w:val="21"/>
              <w:spacing w:after="0" w:line="360" w:lineRule="exact"/>
              <w:ind w:leftChars="0" w:left="0" w:firstLine="420"/>
              <w:rPr>
                <w:rFonts w:eastAsia="仿宋_GB2312"/>
                <w:sz w:val="24"/>
                <w:szCs w:val="24"/>
              </w:rPr>
            </w:pPr>
            <w:r>
              <w:rPr>
                <w:rFonts w:eastAsia="仿宋_GB2312"/>
                <w:sz w:val="24"/>
                <w:szCs w:val="24"/>
              </w:rPr>
              <w:lastRenderedPageBreak/>
              <w:t>1.</w:t>
            </w:r>
            <w:r>
              <w:rPr>
                <w:rFonts w:eastAsia="仿宋_GB2312"/>
                <w:sz w:val="24"/>
                <w:szCs w:val="24"/>
              </w:rPr>
              <w:t>《上海市城市总体规划（</w:t>
            </w:r>
            <w:r>
              <w:rPr>
                <w:rFonts w:eastAsia="仿宋_GB2312"/>
                <w:sz w:val="24"/>
                <w:szCs w:val="24"/>
              </w:rPr>
              <w:t>2017—2035</w:t>
            </w:r>
            <w:r>
              <w:rPr>
                <w:rFonts w:eastAsia="仿宋_GB2312"/>
                <w:sz w:val="24"/>
                <w:szCs w:val="24"/>
              </w:rPr>
              <w:t>）》提出要强化沿江、沿湾、沪宁、沪杭、</w:t>
            </w:r>
            <w:proofErr w:type="gramStart"/>
            <w:r>
              <w:rPr>
                <w:rFonts w:eastAsia="仿宋_GB2312"/>
                <w:sz w:val="24"/>
                <w:szCs w:val="24"/>
              </w:rPr>
              <w:t>沪湖等</w:t>
            </w:r>
            <w:proofErr w:type="gramEnd"/>
            <w:r>
              <w:rPr>
                <w:rFonts w:eastAsia="仿宋_GB2312"/>
                <w:sz w:val="24"/>
                <w:szCs w:val="24"/>
              </w:rPr>
              <w:t>重点发展廊道；</w:t>
            </w:r>
            <w:r>
              <w:rPr>
                <w:rFonts w:eastAsia="仿宋_GB2312"/>
                <w:sz w:val="24"/>
                <w:szCs w:val="24"/>
              </w:rPr>
              <w:lastRenderedPageBreak/>
              <w:t>2.</w:t>
            </w:r>
            <w:r>
              <w:rPr>
                <w:rFonts w:eastAsia="仿宋_GB2312"/>
                <w:sz w:val="24"/>
                <w:szCs w:val="24"/>
              </w:rPr>
              <w:t>《上海大都市圈空间协同规划》提出，要</w:t>
            </w:r>
            <w:r>
              <w:rPr>
                <w:rFonts w:eastAsia="仿宋_GB2312"/>
                <w:sz w:val="24"/>
                <w:szCs w:val="24"/>
              </w:rPr>
              <w:t>“</w:t>
            </w:r>
            <w:r>
              <w:rPr>
                <w:rFonts w:eastAsia="仿宋_GB2312"/>
                <w:sz w:val="24"/>
                <w:szCs w:val="24"/>
              </w:rPr>
              <w:t>培育沪宁、</w:t>
            </w:r>
            <w:r>
              <w:rPr>
                <w:rFonts w:eastAsia="仿宋_GB2312"/>
                <w:sz w:val="24"/>
                <w:szCs w:val="24"/>
              </w:rPr>
              <w:t>G60</w:t>
            </w:r>
            <w:r>
              <w:rPr>
                <w:rFonts w:eastAsia="仿宋_GB2312"/>
                <w:sz w:val="24"/>
                <w:szCs w:val="24"/>
              </w:rPr>
              <w:t>、沪湖三条区域创新廊道</w:t>
            </w:r>
            <w:r>
              <w:rPr>
                <w:rFonts w:eastAsia="仿宋_GB2312"/>
                <w:sz w:val="24"/>
                <w:szCs w:val="24"/>
              </w:rPr>
              <w:t>”</w:t>
            </w:r>
            <w:r>
              <w:rPr>
                <w:rFonts w:eastAsia="仿宋_GB2312"/>
                <w:sz w:val="24"/>
                <w:szCs w:val="24"/>
              </w:rPr>
              <w:t>；</w:t>
            </w:r>
            <w:r>
              <w:rPr>
                <w:rFonts w:eastAsia="仿宋_GB2312"/>
                <w:sz w:val="24"/>
                <w:szCs w:val="24"/>
              </w:rPr>
              <w:t>3.</w:t>
            </w:r>
            <w:r>
              <w:rPr>
                <w:rFonts w:eastAsia="仿宋_GB2312"/>
                <w:sz w:val="24"/>
                <w:szCs w:val="24"/>
              </w:rPr>
              <w:t>国家长三角</w:t>
            </w:r>
            <w:r>
              <w:rPr>
                <w:rFonts w:eastAsia="仿宋_GB2312"/>
                <w:sz w:val="24"/>
                <w:szCs w:val="24"/>
              </w:rPr>
              <w:t>“</w:t>
            </w:r>
            <w:r>
              <w:rPr>
                <w:rFonts w:eastAsia="仿宋_GB2312"/>
                <w:sz w:val="24"/>
                <w:szCs w:val="24"/>
              </w:rPr>
              <w:t>十四五</w:t>
            </w:r>
            <w:r>
              <w:rPr>
                <w:rFonts w:eastAsia="仿宋_GB2312"/>
                <w:sz w:val="24"/>
                <w:szCs w:val="24"/>
              </w:rPr>
              <w:t>”</w:t>
            </w:r>
            <w:r>
              <w:rPr>
                <w:rFonts w:eastAsia="仿宋_GB2312"/>
                <w:sz w:val="24"/>
                <w:szCs w:val="24"/>
              </w:rPr>
              <w:t>实施方案和省年度工作要点均提出要谋划打造</w:t>
            </w:r>
            <w:r>
              <w:rPr>
                <w:rFonts w:eastAsia="仿宋_GB2312"/>
                <w:sz w:val="24"/>
                <w:szCs w:val="24"/>
              </w:rPr>
              <w:t>“</w:t>
            </w:r>
            <w:r>
              <w:rPr>
                <w:rFonts w:eastAsia="仿宋_GB2312"/>
                <w:sz w:val="24"/>
                <w:szCs w:val="24"/>
              </w:rPr>
              <w:t>沪杭甬湾区经济创新区</w:t>
            </w:r>
            <w:r>
              <w:rPr>
                <w:rFonts w:eastAsia="仿宋_GB2312"/>
                <w:sz w:val="24"/>
                <w:szCs w:val="24"/>
              </w:rPr>
              <w:t>”</w:t>
            </w:r>
            <w:r>
              <w:rPr>
                <w:rFonts w:eastAsia="仿宋_GB2312"/>
                <w:sz w:val="24"/>
                <w:szCs w:val="24"/>
              </w:rPr>
              <w:t>，沪苏湖</w:t>
            </w:r>
            <w:proofErr w:type="gramStart"/>
            <w:r>
              <w:rPr>
                <w:rFonts w:eastAsia="仿宋_GB2312"/>
                <w:sz w:val="24"/>
                <w:szCs w:val="24"/>
              </w:rPr>
              <w:t>芜</w:t>
            </w:r>
            <w:proofErr w:type="gramEnd"/>
            <w:r>
              <w:rPr>
                <w:rFonts w:eastAsia="仿宋_GB2312"/>
                <w:sz w:val="24"/>
                <w:szCs w:val="24"/>
              </w:rPr>
              <w:t>廊道对完善沪杭甬湾区谋划具有重要补充意义。</w:t>
            </w:r>
          </w:p>
        </w:tc>
        <w:tc>
          <w:tcPr>
            <w:tcW w:w="5670" w:type="dxa"/>
            <w:vAlign w:val="center"/>
          </w:tcPr>
          <w:p w:rsidR="008C4D95" w:rsidRDefault="008C4D95">
            <w:pPr>
              <w:widowControl/>
              <w:spacing w:line="360" w:lineRule="exact"/>
              <w:ind w:firstLine="420"/>
              <w:rPr>
                <w:sz w:val="24"/>
                <w:szCs w:val="24"/>
              </w:rPr>
            </w:pPr>
            <w:r>
              <w:rPr>
                <w:sz w:val="24"/>
                <w:szCs w:val="24"/>
              </w:rPr>
              <w:lastRenderedPageBreak/>
              <w:t>一是沪苏湖</w:t>
            </w:r>
            <w:proofErr w:type="gramStart"/>
            <w:r>
              <w:rPr>
                <w:sz w:val="24"/>
                <w:szCs w:val="24"/>
              </w:rPr>
              <w:t>芜</w:t>
            </w:r>
            <w:proofErr w:type="gramEnd"/>
            <w:r>
              <w:rPr>
                <w:sz w:val="24"/>
                <w:szCs w:val="24"/>
              </w:rPr>
              <w:t>产业创新带现状基础研究，摸清走廊资源条件、发展现状和合作基础；二是研究三省一</w:t>
            </w:r>
            <w:r>
              <w:rPr>
                <w:sz w:val="24"/>
                <w:szCs w:val="24"/>
              </w:rPr>
              <w:lastRenderedPageBreak/>
              <w:t>市共建沪苏湖</w:t>
            </w:r>
            <w:proofErr w:type="gramStart"/>
            <w:r>
              <w:rPr>
                <w:sz w:val="24"/>
                <w:szCs w:val="24"/>
              </w:rPr>
              <w:t>芜</w:t>
            </w:r>
            <w:proofErr w:type="gramEnd"/>
            <w:r>
              <w:rPr>
                <w:sz w:val="24"/>
                <w:szCs w:val="24"/>
              </w:rPr>
              <w:t>产业创新带的可行性必要性；三是研究提出沪苏湖</w:t>
            </w:r>
            <w:proofErr w:type="gramStart"/>
            <w:r>
              <w:rPr>
                <w:sz w:val="24"/>
                <w:szCs w:val="24"/>
              </w:rPr>
              <w:t>芜</w:t>
            </w:r>
            <w:proofErr w:type="gramEnd"/>
            <w:r>
              <w:rPr>
                <w:sz w:val="24"/>
                <w:szCs w:val="24"/>
              </w:rPr>
              <w:t>产业创新带发展目标、功能定位、重要节点和空间布局；四是聚焦湖州自身发展，分析总结湖州市在沿线跨区域合作的重点领域和突破抓手；五是探索提出湖州市在沪苏湖</w:t>
            </w:r>
            <w:proofErr w:type="gramStart"/>
            <w:r>
              <w:rPr>
                <w:sz w:val="24"/>
                <w:szCs w:val="24"/>
              </w:rPr>
              <w:t>芜</w:t>
            </w:r>
            <w:proofErr w:type="gramEnd"/>
            <w:r>
              <w:rPr>
                <w:sz w:val="24"/>
                <w:szCs w:val="24"/>
              </w:rPr>
              <w:t>产业创新带的具体推进路径和跨区域合作模式。</w:t>
            </w:r>
          </w:p>
        </w:tc>
      </w:tr>
      <w:tr w:rsidR="008C4D95">
        <w:trPr>
          <w:trHeight w:val="737"/>
          <w:jc w:val="center"/>
        </w:trPr>
        <w:tc>
          <w:tcPr>
            <w:tcW w:w="677" w:type="dxa"/>
            <w:vAlign w:val="center"/>
          </w:tcPr>
          <w:p w:rsidR="008C4D95" w:rsidRDefault="008C4D95">
            <w:pPr>
              <w:widowControl/>
              <w:spacing w:line="360" w:lineRule="exact"/>
              <w:jc w:val="center"/>
              <w:rPr>
                <w:sz w:val="24"/>
                <w:szCs w:val="24"/>
              </w:rPr>
            </w:pPr>
            <w:r>
              <w:rPr>
                <w:color w:val="000000"/>
                <w:kern w:val="0"/>
                <w:sz w:val="24"/>
                <w:szCs w:val="24"/>
              </w:rPr>
              <w:lastRenderedPageBreak/>
              <w:t>4</w:t>
            </w:r>
          </w:p>
        </w:tc>
        <w:tc>
          <w:tcPr>
            <w:tcW w:w="1843" w:type="dxa"/>
            <w:vAlign w:val="center"/>
          </w:tcPr>
          <w:p w:rsidR="008C4D95" w:rsidRDefault="008C4D95">
            <w:pPr>
              <w:widowControl/>
              <w:spacing w:line="360" w:lineRule="exact"/>
              <w:rPr>
                <w:sz w:val="24"/>
                <w:szCs w:val="24"/>
              </w:rPr>
            </w:pPr>
            <w:r>
              <w:rPr>
                <w:sz w:val="24"/>
                <w:szCs w:val="24"/>
              </w:rPr>
              <w:t>长三角共同打造中试服务平台研究</w:t>
            </w:r>
          </w:p>
        </w:tc>
        <w:tc>
          <w:tcPr>
            <w:tcW w:w="5661" w:type="dxa"/>
            <w:vAlign w:val="center"/>
          </w:tcPr>
          <w:p w:rsidR="008C4D95" w:rsidRDefault="008C4D95">
            <w:pPr>
              <w:widowControl/>
              <w:spacing w:line="360" w:lineRule="exact"/>
              <w:ind w:firstLine="420"/>
              <w:rPr>
                <w:sz w:val="24"/>
                <w:szCs w:val="24"/>
              </w:rPr>
            </w:pPr>
            <w:r>
              <w:rPr>
                <w:sz w:val="24"/>
                <w:szCs w:val="24"/>
              </w:rPr>
              <w:t>共建中试服务平台，能够有效加强科技成果转化成果率，长三角地区通过强化政府引导和市场机制结合，由行业龙头企业、专业孵化器牵头，建设面向中小企业的中试平台，满足企业对技术成熟度的要求。</w:t>
            </w:r>
          </w:p>
        </w:tc>
        <w:tc>
          <w:tcPr>
            <w:tcW w:w="5670" w:type="dxa"/>
            <w:vAlign w:val="center"/>
          </w:tcPr>
          <w:p w:rsidR="008C4D95" w:rsidRDefault="008C4D95">
            <w:pPr>
              <w:widowControl/>
              <w:spacing w:line="360" w:lineRule="exact"/>
              <w:ind w:firstLine="420"/>
              <w:rPr>
                <w:sz w:val="24"/>
                <w:szCs w:val="24"/>
              </w:rPr>
            </w:pPr>
            <w:r>
              <w:rPr>
                <w:sz w:val="24"/>
                <w:szCs w:val="24"/>
              </w:rPr>
              <w:t>一是</w:t>
            </w:r>
            <w:proofErr w:type="gramStart"/>
            <w:r>
              <w:rPr>
                <w:sz w:val="24"/>
                <w:szCs w:val="24"/>
              </w:rPr>
              <w:t>分析长</w:t>
            </w:r>
            <w:proofErr w:type="gramEnd"/>
            <w:r>
              <w:rPr>
                <w:sz w:val="24"/>
                <w:szCs w:val="24"/>
              </w:rPr>
              <w:t>三角地区中试服务平台建设情况，系统了解共建中试服务平台中遇到的瓶颈问题，以及技术研究、产业发展的需求；二是借鉴学习北京、上海等地打造中试服务平台的经验；三是探索建立政府引导与市场发力的合作机制与创新模式；四是一市三省共建中试服务平台的若干举措和对策建议。</w:t>
            </w:r>
          </w:p>
        </w:tc>
      </w:tr>
      <w:tr w:rsidR="008C4D95">
        <w:trPr>
          <w:trHeight w:val="737"/>
          <w:jc w:val="center"/>
        </w:trPr>
        <w:tc>
          <w:tcPr>
            <w:tcW w:w="677" w:type="dxa"/>
            <w:vAlign w:val="center"/>
          </w:tcPr>
          <w:p w:rsidR="008C4D95" w:rsidRDefault="008C4D95">
            <w:pPr>
              <w:widowControl/>
              <w:spacing w:line="360" w:lineRule="exact"/>
              <w:jc w:val="center"/>
              <w:rPr>
                <w:sz w:val="24"/>
                <w:szCs w:val="24"/>
              </w:rPr>
            </w:pPr>
            <w:r>
              <w:rPr>
                <w:sz w:val="24"/>
                <w:szCs w:val="24"/>
              </w:rPr>
              <w:t>5</w:t>
            </w:r>
          </w:p>
        </w:tc>
        <w:tc>
          <w:tcPr>
            <w:tcW w:w="1843" w:type="dxa"/>
            <w:vAlign w:val="center"/>
          </w:tcPr>
          <w:p w:rsidR="008C4D95" w:rsidRDefault="008C4D95">
            <w:pPr>
              <w:widowControl/>
              <w:spacing w:line="360" w:lineRule="exact"/>
              <w:rPr>
                <w:sz w:val="24"/>
                <w:szCs w:val="24"/>
              </w:rPr>
            </w:pPr>
            <w:proofErr w:type="gramStart"/>
            <w:r>
              <w:rPr>
                <w:color w:val="000000"/>
                <w:kern w:val="0"/>
                <w:sz w:val="24"/>
                <w:szCs w:val="24"/>
              </w:rPr>
              <w:t>碳达峰碳</w:t>
            </w:r>
            <w:proofErr w:type="gramEnd"/>
            <w:r>
              <w:rPr>
                <w:color w:val="000000"/>
                <w:kern w:val="0"/>
                <w:sz w:val="24"/>
                <w:szCs w:val="24"/>
              </w:rPr>
              <w:t>中和背景下长三角地区能源安全保障研究</w:t>
            </w:r>
          </w:p>
        </w:tc>
        <w:tc>
          <w:tcPr>
            <w:tcW w:w="5661" w:type="dxa"/>
            <w:vAlign w:val="center"/>
          </w:tcPr>
          <w:p w:rsidR="008C4D95" w:rsidRDefault="008C4D95">
            <w:pPr>
              <w:widowControl/>
              <w:spacing w:line="360" w:lineRule="exact"/>
              <w:ind w:firstLine="420"/>
              <w:rPr>
                <w:sz w:val="24"/>
                <w:szCs w:val="24"/>
              </w:rPr>
            </w:pPr>
            <w:r>
              <w:rPr>
                <w:color w:val="000000"/>
                <w:kern w:val="0"/>
                <w:sz w:val="24"/>
                <w:szCs w:val="24"/>
              </w:rPr>
              <w:t>近年来，长三角地区</w:t>
            </w:r>
            <w:r>
              <w:rPr>
                <w:color w:val="000000"/>
                <w:kern w:val="0"/>
                <w:sz w:val="24"/>
                <w:szCs w:val="24"/>
              </w:rPr>
              <w:t>“</w:t>
            </w:r>
            <w:r>
              <w:rPr>
                <w:color w:val="000000"/>
                <w:kern w:val="0"/>
                <w:sz w:val="24"/>
                <w:szCs w:val="24"/>
              </w:rPr>
              <w:t>双控三升三降</w:t>
            </w:r>
            <w:r>
              <w:rPr>
                <w:color w:val="000000"/>
                <w:kern w:val="0"/>
                <w:sz w:val="24"/>
                <w:szCs w:val="24"/>
              </w:rPr>
              <w:t>”</w:t>
            </w:r>
            <w:r>
              <w:rPr>
                <w:color w:val="000000"/>
                <w:kern w:val="0"/>
                <w:sz w:val="24"/>
                <w:szCs w:val="24"/>
              </w:rPr>
              <w:t>指标进展良好，其中浙江省光伏、风电等可再生能源发展全国领先。</w:t>
            </w:r>
            <w:proofErr w:type="gramStart"/>
            <w:r>
              <w:rPr>
                <w:color w:val="000000"/>
                <w:kern w:val="0"/>
                <w:sz w:val="24"/>
                <w:szCs w:val="24"/>
              </w:rPr>
              <w:t>随着碳达峰</w:t>
            </w:r>
            <w:proofErr w:type="gramEnd"/>
            <w:r>
              <w:rPr>
                <w:color w:val="000000"/>
                <w:kern w:val="0"/>
                <w:sz w:val="24"/>
                <w:szCs w:val="24"/>
              </w:rPr>
              <w:t>、碳中和提上日程，一市</w:t>
            </w:r>
            <w:proofErr w:type="gramStart"/>
            <w:r>
              <w:rPr>
                <w:color w:val="000000"/>
                <w:kern w:val="0"/>
                <w:sz w:val="24"/>
                <w:szCs w:val="24"/>
              </w:rPr>
              <w:t>三省正面临</w:t>
            </w:r>
            <w:proofErr w:type="gramEnd"/>
            <w:r>
              <w:rPr>
                <w:color w:val="000000"/>
                <w:kern w:val="0"/>
                <w:sz w:val="24"/>
                <w:szCs w:val="24"/>
              </w:rPr>
              <w:t>着能源安全保障、推动低碳发展和降低用</w:t>
            </w:r>
            <w:proofErr w:type="gramStart"/>
            <w:r>
              <w:rPr>
                <w:color w:val="000000"/>
                <w:kern w:val="0"/>
                <w:sz w:val="24"/>
                <w:szCs w:val="24"/>
              </w:rPr>
              <w:t>能成本</w:t>
            </w:r>
            <w:proofErr w:type="gramEnd"/>
            <w:r>
              <w:rPr>
                <w:color w:val="000000"/>
                <w:kern w:val="0"/>
                <w:sz w:val="24"/>
                <w:szCs w:val="24"/>
              </w:rPr>
              <w:t>的</w:t>
            </w:r>
            <w:r>
              <w:rPr>
                <w:color w:val="000000"/>
                <w:kern w:val="0"/>
                <w:sz w:val="24"/>
                <w:szCs w:val="24"/>
              </w:rPr>
              <w:t>“</w:t>
            </w:r>
            <w:r>
              <w:rPr>
                <w:color w:val="000000"/>
                <w:kern w:val="0"/>
                <w:sz w:val="24"/>
                <w:szCs w:val="24"/>
              </w:rPr>
              <w:t>三元悖论</w:t>
            </w:r>
            <w:r>
              <w:rPr>
                <w:color w:val="000000"/>
                <w:kern w:val="0"/>
                <w:sz w:val="24"/>
                <w:szCs w:val="24"/>
              </w:rPr>
              <w:t>”</w:t>
            </w:r>
            <w:r>
              <w:rPr>
                <w:color w:val="000000"/>
                <w:kern w:val="0"/>
                <w:sz w:val="24"/>
                <w:szCs w:val="24"/>
              </w:rPr>
              <w:t>，构建起低碳、清洁、安全的能源保障体系意义重大。</w:t>
            </w:r>
          </w:p>
        </w:tc>
        <w:tc>
          <w:tcPr>
            <w:tcW w:w="5670" w:type="dxa"/>
            <w:vAlign w:val="center"/>
          </w:tcPr>
          <w:p w:rsidR="008C4D95" w:rsidRDefault="008C4D95">
            <w:pPr>
              <w:widowControl/>
              <w:spacing w:line="360" w:lineRule="exact"/>
              <w:ind w:firstLine="420"/>
              <w:rPr>
                <w:color w:val="000000"/>
                <w:kern w:val="0"/>
                <w:sz w:val="24"/>
                <w:szCs w:val="24"/>
              </w:rPr>
            </w:pPr>
            <w:r>
              <w:rPr>
                <w:color w:val="000000"/>
                <w:kern w:val="0"/>
                <w:sz w:val="24"/>
                <w:szCs w:val="24"/>
              </w:rPr>
              <w:t>一是</w:t>
            </w:r>
            <w:proofErr w:type="gramStart"/>
            <w:r>
              <w:rPr>
                <w:color w:val="000000"/>
                <w:kern w:val="0"/>
                <w:sz w:val="24"/>
                <w:szCs w:val="24"/>
              </w:rPr>
              <w:t>分析长</w:t>
            </w:r>
            <w:proofErr w:type="gramEnd"/>
            <w:r>
              <w:rPr>
                <w:color w:val="000000"/>
                <w:kern w:val="0"/>
                <w:sz w:val="24"/>
                <w:szCs w:val="24"/>
              </w:rPr>
              <w:t>三角地区用能、储能和负荷情况；二是研究发达国家、先进地区在能源结构优化、保障能源安全等方面的举措；三是探索保障区域能源安全、发展绿色能源、提升效能等方面的举措；四是研究建立长三角地区能源安全保障机制。</w:t>
            </w:r>
          </w:p>
        </w:tc>
      </w:tr>
      <w:tr w:rsidR="008C4D95">
        <w:trPr>
          <w:trHeight w:val="737"/>
          <w:jc w:val="center"/>
        </w:trPr>
        <w:tc>
          <w:tcPr>
            <w:tcW w:w="677" w:type="dxa"/>
            <w:vAlign w:val="center"/>
          </w:tcPr>
          <w:p w:rsidR="008C4D95" w:rsidRDefault="008C4D95">
            <w:pPr>
              <w:widowControl/>
              <w:spacing w:line="360" w:lineRule="exact"/>
              <w:jc w:val="center"/>
              <w:rPr>
                <w:sz w:val="24"/>
                <w:szCs w:val="24"/>
              </w:rPr>
            </w:pPr>
            <w:r>
              <w:rPr>
                <w:sz w:val="24"/>
                <w:szCs w:val="24"/>
              </w:rPr>
              <w:t>6</w:t>
            </w:r>
          </w:p>
        </w:tc>
        <w:tc>
          <w:tcPr>
            <w:tcW w:w="1843" w:type="dxa"/>
            <w:vAlign w:val="center"/>
          </w:tcPr>
          <w:p w:rsidR="008C4D95" w:rsidRDefault="008C4D95">
            <w:pPr>
              <w:widowControl/>
              <w:spacing w:line="360" w:lineRule="exact"/>
              <w:rPr>
                <w:sz w:val="24"/>
                <w:szCs w:val="24"/>
              </w:rPr>
            </w:pPr>
            <w:r>
              <w:rPr>
                <w:color w:val="000000"/>
                <w:kern w:val="0"/>
                <w:sz w:val="24"/>
                <w:szCs w:val="24"/>
              </w:rPr>
              <w:t>长三角重大科技基础设施驱动的科技创新一体化研究</w:t>
            </w:r>
          </w:p>
        </w:tc>
        <w:tc>
          <w:tcPr>
            <w:tcW w:w="5661" w:type="dxa"/>
            <w:vAlign w:val="center"/>
          </w:tcPr>
          <w:p w:rsidR="008C4D95" w:rsidRDefault="008C4D95">
            <w:pPr>
              <w:widowControl/>
              <w:spacing w:line="360" w:lineRule="exact"/>
              <w:ind w:firstLine="420"/>
              <w:rPr>
                <w:sz w:val="24"/>
                <w:szCs w:val="24"/>
              </w:rPr>
            </w:pPr>
            <w:r>
              <w:rPr>
                <w:color w:val="000000"/>
                <w:kern w:val="0"/>
                <w:sz w:val="24"/>
                <w:szCs w:val="24"/>
              </w:rPr>
              <w:t>长三角地区依托世界一流的重大科技基础设施集群和区域重大科技基础设施网络，已经成为我国重要的创新高地。开展长三角重大科技基础设施驱动的科技创新一体化研究，有利于明晰长三角特别是浙江</w:t>
            </w:r>
            <w:r>
              <w:rPr>
                <w:color w:val="000000"/>
                <w:kern w:val="0"/>
                <w:sz w:val="24"/>
                <w:szCs w:val="24"/>
              </w:rPr>
              <w:lastRenderedPageBreak/>
              <w:t>省未来科技发展方向，充分发挥科技创新集群效应，同时有助于优化区域创新布局，推进区域产业协同，打造创新产业生态。</w:t>
            </w:r>
          </w:p>
        </w:tc>
        <w:tc>
          <w:tcPr>
            <w:tcW w:w="5670" w:type="dxa"/>
            <w:vAlign w:val="center"/>
          </w:tcPr>
          <w:p w:rsidR="008C4D95" w:rsidRDefault="008C4D95">
            <w:pPr>
              <w:widowControl/>
              <w:spacing w:line="360" w:lineRule="exact"/>
              <w:ind w:firstLine="420"/>
              <w:rPr>
                <w:color w:val="000000"/>
                <w:kern w:val="0"/>
                <w:sz w:val="24"/>
                <w:szCs w:val="24"/>
              </w:rPr>
            </w:pPr>
            <w:r>
              <w:rPr>
                <w:color w:val="000000"/>
                <w:kern w:val="0"/>
                <w:sz w:val="24"/>
                <w:szCs w:val="24"/>
              </w:rPr>
              <w:lastRenderedPageBreak/>
              <w:t>一是</w:t>
            </w:r>
            <w:proofErr w:type="gramStart"/>
            <w:r>
              <w:rPr>
                <w:color w:val="000000"/>
                <w:kern w:val="0"/>
                <w:sz w:val="24"/>
                <w:szCs w:val="24"/>
              </w:rPr>
              <w:t>分析长</w:t>
            </w:r>
            <w:proofErr w:type="gramEnd"/>
            <w:r>
              <w:rPr>
                <w:color w:val="000000"/>
                <w:kern w:val="0"/>
                <w:sz w:val="24"/>
                <w:szCs w:val="24"/>
              </w:rPr>
              <w:t>三角重大科技基础设施的现状；二是</w:t>
            </w:r>
            <w:proofErr w:type="gramStart"/>
            <w:r>
              <w:rPr>
                <w:color w:val="000000"/>
                <w:kern w:val="0"/>
                <w:sz w:val="24"/>
                <w:szCs w:val="24"/>
              </w:rPr>
              <w:t>研究长</w:t>
            </w:r>
            <w:proofErr w:type="gramEnd"/>
            <w:r>
              <w:rPr>
                <w:color w:val="000000"/>
                <w:kern w:val="0"/>
                <w:sz w:val="24"/>
                <w:szCs w:val="24"/>
              </w:rPr>
              <w:t>三角重大科技基础设施的创新成果、一体化布局、共建共享的条件；三是基于重大科学基础设施的科技创新的一体化背景，</w:t>
            </w:r>
            <w:proofErr w:type="gramStart"/>
            <w:r>
              <w:rPr>
                <w:color w:val="000000"/>
                <w:kern w:val="0"/>
                <w:sz w:val="24"/>
                <w:szCs w:val="24"/>
              </w:rPr>
              <w:t>研究长</w:t>
            </w:r>
            <w:proofErr w:type="gramEnd"/>
            <w:r>
              <w:rPr>
                <w:color w:val="000000"/>
                <w:kern w:val="0"/>
                <w:sz w:val="24"/>
                <w:szCs w:val="24"/>
              </w:rPr>
              <w:t>三角地区科技创新协</w:t>
            </w:r>
            <w:r>
              <w:rPr>
                <w:color w:val="000000"/>
                <w:kern w:val="0"/>
                <w:sz w:val="24"/>
                <w:szCs w:val="24"/>
              </w:rPr>
              <w:lastRenderedPageBreak/>
              <w:t>同路径；四是探索共建一批联合实验室、技术创新中心、重大科学装置等重大科技基础设施；五是分析浙江省在推动长三角科技创新一体化领域的对策建议。</w:t>
            </w:r>
          </w:p>
        </w:tc>
      </w:tr>
      <w:tr w:rsidR="008C4D95">
        <w:trPr>
          <w:trHeight w:val="737"/>
          <w:jc w:val="center"/>
        </w:trPr>
        <w:tc>
          <w:tcPr>
            <w:tcW w:w="677" w:type="dxa"/>
            <w:vAlign w:val="center"/>
          </w:tcPr>
          <w:p w:rsidR="008C4D95" w:rsidRDefault="008C4D95">
            <w:pPr>
              <w:widowControl/>
              <w:spacing w:line="360" w:lineRule="exact"/>
              <w:jc w:val="center"/>
              <w:rPr>
                <w:color w:val="000000"/>
                <w:kern w:val="0"/>
                <w:sz w:val="24"/>
                <w:szCs w:val="24"/>
              </w:rPr>
            </w:pPr>
            <w:r>
              <w:rPr>
                <w:color w:val="000000"/>
                <w:kern w:val="0"/>
                <w:sz w:val="24"/>
                <w:szCs w:val="24"/>
              </w:rPr>
              <w:lastRenderedPageBreak/>
              <w:t>7</w:t>
            </w:r>
          </w:p>
        </w:tc>
        <w:tc>
          <w:tcPr>
            <w:tcW w:w="1843" w:type="dxa"/>
            <w:vAlign w:val="center"/>
          </w:tcPr>
          <w:p w:rsidR="008C4D95" w:rsidRDefault="008C4D95">
            <w:pPr>
              <w:widowControl/>
              <w:spacing w:line="360" w:lineRule="exact"/>
              <w:rPr>
                <w:color w:val="000000"/>
                <w:kern w:val="0"/>
                <w:sz w:val="24"/>
                <w:szCs w:val="24"/>
              </w:rPr>
            </w:pPr>
            <w:r>
              <w:rPr>
                <w:color w:val="000000"/>
                <w:kern w:val="0"/>
                <w:sz w:val="24"/>
                <w:szCs w:val="24"/>
              </w:rPr>
              <w:t>长三角地区打造世界</w:t>
            </w:r>
            <w:proofErr w:type="gramStart"/>
            <w:r>
              <w:rPr>
                <w:color w:val="000000"/>
                <w:kern w:val="0"/>
                <w:sz w:val="24"/>
                <w:szCs w:val="24"/>
              </w:rPr>
              <w:t>级创新药产业</w:t>
            </w:r>
            <w:proofErr w:type="gramEnd"/>
            <w:r>
              <w:rPr>
                <w:color w:val="000000"/>
                <w:kern w:val="0"/>
                <w:sz w:val="24"/>
                <w:szCs w:val="24"/>
              </w:rPr>
              <w:t>集群研究</w:t>
            </w:r>
          </w:p>
        </w:tc>
        <w:tc>
          <w:tcPr>
            <w:tcW w:w="5661" w:type="dxa"/>
            <w:vAlign w:val="center"/>
          </w:tcPr>
          <w:p w:rsidR="008C4D95" w:rsidRDefault="008C4D95">
            <w:pPr>
              <w:widowControl/>
              <w:spacing w:line="360" w:lineRule="exact"/>
              <w:ind w:firstLine="420"/>
              <w:rPr>
                <w:color w:val="000000"/>
                <w:kern w:val="0"/>
                <w:sz w:val="24"/>
                <w:szCs w:val="24"/>
              </w:rPr>
            </w:pPr>
            <w:r>
              <w:rPr>
                <w:color w:val="000000"/>
                <w:kern w:val="0"/>
                <w:sz w:val="24"/>
                <w:szCs w:val="24"/>
              </w:rPr>
              <w:t>生命科技是</w:t>
            </w:r>
            <w:r>
              <w:rPr>
                <w:color w:val="000000"/>
                <w:kern w:val="0"/>
                <w:sz w:val="24"/>
                <w:szCs w:val="24"/>
              </w:rPr>
              <w:t>21</w:t>
            </w:r>
            <w:r>
              <w:rPr>
                <w:color w:val="000000"/>
                <w:kern w:val="0"/>
                <w:sz w:val="24"/>
                <w:szCs w:val="24"/>
              </w:rPr>
              <w:t>世纪的主导产业之一，创新药物研究对我国建设创新型国家具有重大的意义。长三角地区应当充分发挥好生物医药产业优势，推动重大新药创制，研发一批对重大疾病具有较好治疗作用、且具有自主知识产权的药物，降低对国外新药的依赖。</w:t>
            </w:r>
          </w:p>
        </w:tc>
        <w:tc>
          <w:tcPr>
            <w:tcW w:w="5670" w:type="dxa"/>
            <w:vAlign w:val="center"/>
          </w:tcPr>
          <w:p w:rsidR="008C4D95" w:rsidRDefault="008C4D95">
            <w:pPr>
              <w:widowControl/>
              <w:spacing w:line="360" w:lineRule="exact"/>
              <w:ind w:firstLine="420"/>
              <w:rPr>
                <w:color w:val="000000"/>
                <w:kern w:val="0"/>
                <w:sz w:val="24"/>
                <w:szCs w:val="24"/>
              </w:rPr>
            </w:pPr>
            <w:r>
              <w:rPr>
                <w:color w:val="000000"/>
                <w:kern w:val="0"/>
                <w:sz w:val="24"/>
                <w:szCs w:val="24"/>
              </w:rPr>
              <w:t>一是</w:t>
            </w:r>
            <w:proofErr w:type="gramStart"/>
            <w:r>
              <w:rPr>
                <w:color w:val="000000"/>
                <w:kern w:val="0"/>
                <w:sz w:val="24"/>
                <w:szCs w:val="24"/>
              </w:rPr>
              <w:t>分析长</w:t>
            </w:r>
            <w:proofErr w:type="gramEnd"/>
            <w:r>
              <w:rPr>
                <w:color w:val="000000"/>
                <w:kern w:val="0"/>
                <w:sz w:val="24"/>
                <w:szCs w:val="24"/>
              </w:rPr>
              <w:t>三角地区创新</w:t>
            </w:r>
            <w:proofErr w:type="gramStart"/>
            <w:r>
              <w:rPr>
                <w:color w:val="000000"/>
                <w:kern w:val="0"/>
                <w:sz w:val="24"/>
                <w:szCs w:val="24"/>
              </w:rPr>
              <w:t>药产业</w:t>
            </w:r>
            <w:proofErr w:type="gramEnd"/>
            <w:r>
              <w:rPr>
                <w:color w:val="000000"/>
                <w:kern w:val="0"/>
                <w:sz w:val="24"/>
                <w:szCs w:val="24"/>
              </w:rPr>
              <w:t>的现状，摸底创新药发展的基础和发展规模；二是系统分析长三角地区打造世界</w:t>
            </w:r>
            <w:proofErr w:type="gramStart"/>
            <w:r>
              <w:rPr>
                <w:color w:val="000000"/>
                <w:kern w:val="0"/>
                <w:sz w:val="24"/>
                <w:szCs w:val="24"/>
              </w:rPr>
              <w:t>级创新药产业</w:t>
            </w:r>
            <w:proofErr w:type="gramEnd"/>
            <w:r>
              <w:rPr>
                <w:color w:val="000000"/>
                <w:kern w:val="0"/>
                <w:sz w:val="24"/>
                <w:szCs w:val="24"/>
              </w:rPr>
              <w:t>的优势与短板；三是研究建立长三角生物医药产业协调发展机制，畅通</w:t>
            </w:r>
            <w:r>
              <w:rPr>
                <w:color w:val="000000"/>
                <w:kern w:val="0"/>
                <w:sz w:val="24"/>
                <w:szCs w:val="24"/>
              </w:rPr>
              <w:t>“</w:t>
            </w:r>
            <w:r>
              <w:rPr>
                <w:color w:val="000000"/>
                <w:kern w:val="0"/>
                <w:sz w:val="24"/>
                <w:szCs w:val="24"/>
              </w:rPr>
              <w:t>研发</w:t>
            </w:r>
            <w:r>
              <w:rPr>
                <w:color w:val="000000"/>
                <w:kern w:val="0"/>
                <w:sz w:val="24"/>
                <w:szCs w:val="24"/>
              </w:rPr>
              <w:t>-</w:t>
            </w:r>
            <w:r>
              <w:rPr>
                <w:color w:val="000000"/>
                <w:kern w:val="0"/>
                <w:sz w:val="24"/>
                <w:szCs w:val="24"/>
              </w:rPr>
              <w:t>临床</w:t>
            </w:r>
            <w:r>
              <w:rPr>
                <w:color w:val="000000"/>
                <w:kern w:val="0"/>
                <w:sz w:val="24"/>
                <w:szCs w:val="24"/>
              </w:rPr>
              <w:t>-</w:t>
            </w:r>
            <w:r>
              <w:rPr>
                <w:color w:val="000000"/>
                <w:kern w:val="0"/>
                <w:sz w:val="24"/>
                <w:szCs w:val="24"/>
              </w:rPr>
              <w:t>注册</w:t>
            </w:r>
            <w:r>
              <w:rPr>
                <w:color w:val="000000"/>
                <w:kern w:val="0"/>
                <w:sz w:val="24"/>
                <w:szCs w:val="24"/>
              </w:rPr>
              <w:t>-</w:t>
            </w:r>
            <w:r>
              <w:rPr>
                <w:color w:val="000000"/>
                <w:kern w:val="0"/>
                <w:sz w:val="24"/>
                <w:szCs w:val="24"/>
              </w:rPr>
              <w:t>上市</w:t>
            </w:r>
            <w:r>
              <w:rPr>
                <w:color w:val="000000"/>
                <w:kern w:val="0"/>
                <w:sz w:val="24"/>
                <w:szCs w:val="24"/>
              </w:rPr>
              <w:t>”</w:t>
            </w:r>
            <w:r>
              <w:rPr>
                <w:color w:val="000000"/>
                <w:kern w:val="0"/>
                <w:sz w:val="24"/>
                <w:szCs w:val="24"/>
              </w:rPr>
              <w:t>链路；四是推动浙江省生物医药差异化、特色化发展路径，提出对策建议。</w:t>
            </w:r>
          </w:p>
        </w:tc>
      </w:tr>
      <w:tr w:rsidR="008C4D95">
        <w:trPr>
          <w:trHeight w:val="737"/>
          <w:jc w:val="center"/>
        </w:trPr>
        <w:tc>
          <w:tcPr>
            <w:tcW w:w="677" w:type="dxa"/>
            <w:vAlign w:val="center"/>
          </w:tcPr>
          <w:p w:rsidR="008C4D95" w:rsidRDefault="008C4D95">
            <w:pPr>
              <w:widowControl/>
              <w:spacing w:line="360" w:lineRule="exact"/>
              <w:jc w:val="center"/>
              <w:rPr>
                <w:color w:val="000000"/>
                <w:kern w:val="0"/>
                <w:sz w:val="24"/>
                <w:szCs w:val="24"/>
              </w:rPr>
            </w:pPr>
            <w:r>
              <w:rPr>
                <w:color w:val="000000"/>
                <w:kern w:val="0"/>
                <w:sz w:val="24"/>
                <w:szCs w:val="24"/>
              </w:rPr>
              <w:t>8</w:t>
            </w:r>
          </w:p>
        </w:tc>
        <w:tc>
          <w:tcPr>
            <w:tcW w:w="1843" w:type="dxa"/>
            <w:vAlign w:val="center"/>
          </w:tcPr>
          <w:p w:rsidR="008C4D95" w:rsidRDefault="008C4D95">
            <w:pPr>
              <w:widowControl/>
              <w:spacing w:line="360" w:lineRule="exact"/>
              <w:rPr>
                <w:sz w:val="24"/>
                <w:szCs w:val="24"/>
              </w:rPr>
            </w:pPr>
            <w:bookmarkStart w:id="1" w:name="OLE_LINK1"/>
            <w:bookmarkStart w:id="2" w:name="OLE_LINK2"/>
            <w:r>
              <w:rPr>
                <w:sz w:val="24"/>
                <w:szCs w:val="24"/>
              </w:rPr>
              <w:t>长三角知识产权公共服务一体化研究</w:t>
            </w:r>
            <w:bookmarkEnd w:id="1"/>
            <w:bookmarkEnd w:id="2"/>
          </w:p>
        </w:tc>
        <w:tc>
          <w:tcPr>
            <w:tcW w:w="5661" w:type="dxa"/>
            <w:vAlign w:val="center"/>
          </w:tcPr>
          <w:p w:rsidR="008C4D95" w:rsidRDefault="008C4D95">
            <w:pPr>
              <w:widowControl/>
              <w:spacing w:line="360" w:lineRule="exact"/>
              <w:ind w:firstLine="420"/>
              <w:rPr>
                <w:sz w:val="24"/>
                <w:szCs w:val="24"/>
              </w:rPr>
            </w:pPr>
            <w:r>
              <w:rPr>
                <w:sz w:val="24"/>
                <w:szCs w:val="24"/>
              </w:rPr>
              <w:t>习近平总书记强调</w:t>
            </w:r>
            <w:r>
              <w:rPr>
                <w:sz w:val="24"/>
                <w:szCs w:val="24"/>
              </w:rPr>
              <w:t>“</w:t>
            </w:r>
            <w:r>
              <w:rPr>
                <w:sz w:val="24"/>
                <w:szCs w:val="24"/>
              </w:rPr>
              <w:t>创新是引领发展的第一动力，保护知识产权就是保护创新</w:t>
            </w:r>
            <w:r>
              <w:rPr>
                <w:sz w:val="24"/>
                <w:szCs w:val="24"/>
              </w:rPr>
              <w:t>”</w:t>
            </w:r>
            <w:r>
              <w:rPr>
                <w:sz w:val="24"/>
                <w:szCs w:val="24"/>
              </w:rPr>
              <w:t>。近年来，长三角地区尤其是我省在知识产权保护上取得了显著成效，但是仍然存在不少短板弱项，亟需加强理论研究，推进知识产权公共服务、维权执法、信用建设一体化，助力长三角营商环境建设，推动长三角高质量发展。</w:t>
            </w:r>
          </w:p>
        </w:tc>
        <w:tc>
          <w:tcPr>
            <w:tcW w:w="5670" w:type="dxa"/>
            <w:vAlign w:val="center"/>
          </w:tcPr>
          <w:p w:rsidR="008C4D95" w:rsidRDefault="008C4D95">
            <w:pPr>
              <w:widowControl/>
              <w:spacing w:line="360" w:lineRule="exact"/>
              <w:ind w:firstLine="420"/>
              <w:rPr>
                <w:sz w:val="24"/>
                <w:szCs w:val="24"/>
              </w:rPr>
            </w:pPr>
            <w:r>
              <w:rPr>
                <w:sz w:val="24"/>
                <w:szCs w:val="24"/>
              </w:rPr>
              <w:t>一是分析围绕长三角地区知识产权保护工作存在的法规规范滞后、整体质量效益不够高、保护链条不顺畅、侵权易发</w:t>
            </w:r>
            <w:proofErr w:type="gramStart"/>
            <w:r>
              <w:rPr>
                <w:sz w:val="24"/>
                <w:szCs w:val="24"/>
              </w:rPr>
              <w:t>多发等</w:t>
            </w:r>
            <w:proofErr w:type="gramEnd"/>
            <w:r>
              <w:rPr>
                <w:sz w:val="24"/>
                <w:szCs w:val="24"/>
              </w:rPr>
              <w:t>问题；二是立足一市三省优化知识产权创造、运用、保护、管理、服务等全链条公共服务，加强知识产权体制机制改革研究；三是探索建立长三角区域知识产权公共服务平台的有效途径；四是立足浙江实际，探索构建符合中央要求、体现时代特征、展现长三角和浙江特色的引领型知识产权现代化治理体系。</w:t>
            </w:r>
          </w:p>
        </w:tc>
      </w:tr>
    </w:tbl>
    <w:p w:rsidR="008C4D95" w:rsidRPr="003C568F" w:rsidRDefault="008C4D95" w:rsidP="008C076A">
      <w:pPr>
        <w:spacing w:line="579" w:lineRule="exact"/>
        <w:jc w:val="left"/>
      </w:pPr>
    </w:p>
    <w:sectPr w:rsidR="008C4D95" w:rsidRPr="003C568F" w:rsidSect="008C076A">
      <w:footerReference w:type="default" r:id="rId6"/>
      <w:pgSz w:w="16838" w:h="11906" w:orient="landscape"/>
      <w:pgMar w:top="1276"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3AC" w:rsidRDefault="00A303AC">
      <w:r>
        <w:separator/>
      </w:r>
    </w:p>
  </w:endnote>
  <w:endnote w:type="continuationSeparator" w:id="0">
    <w:p w:rsidR="00A303AC" w:rsidRDefault="00A3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D7C" w:rsidRDefault="00944D7C">
    <w:pPr>
      <w:pStyle w:val="a9"/>
      <w:jc w:val="center"/>
    </w:pPr>
    <w:r>
      <w:fldChar w:fldCharType="begin"/>
    </w:r>
    <w:r>
      <w:instrText>PAGE   \* MERGEFORMAT</w:instrText>
    </w:r>
    <w:r>
      <w:fldChar w:fldCharType="separate"/>
    </w:r>
    <w:r w:rsidR="00CF40E5" w:rsidRPr="00CF40E5">
      <w:rPr>
        <w:noProof/>
        <w:lang w:val="zh-CN"/>
      </w:rPr>
      <w:t>1</w:t>
    </w:r>
    <w:r>
      <w:fldChar w:fldCharType="end"/>
    </w:r>
  </w:p>
  <w:p w:rsidR="00944D7C" w:rsidRDefault="00944D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3AC" w:rsidRDefault="00A303AC">
      <w:r>
        <w:separator/>
      </w:r>
    </w:p>
  </w:footnote>
  <w:footnote w:type="continuationSeparator" w:id="0">
    <w:p w:rsidR="00A303AC" w:rsidRDefault="00A30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evenAndOddHeaders/>
  <w:drawingGridHorizontalSpacing w:val="160"/>
  <w:drawingGridVerticalSpacing w:val="435"/>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00.0.150:80/seeyon/officeservlet"/>
  </w:docVars>
  <w:rsids>
    <w:rsidRoot w:val="00172A27"/>
    <w:rsid w:val="00015086"/>
    <w:rsid w:val="00030CB4"/>
    <w:rsid w:val="0003474F"/>
    <w:rsid w:val="00041932"/>
    <w:rsid w:val="00043EE4"/>
    <w:rsid w:val="0008195A"/>
    <w:rsid w:val="000941A5"/>
    <w:rsid w:val="000C7CD8"/>
    <w:rsid w:val="000D1556"/>
    <w:rsid w:val="000D6F5A"/>
    <w:rsid w:val="000F4FFD"/>
    <w:rsid w:val="001714D6"/>
    <w:rsid w:val="00172A27"/>
    <w:rsid w:val="00175D6C"/>
    <w:rsid w:val="0018266A"/>
    <w:rsid w:val="001B0201"/>
    <w:rsid w:val="001D7647"/>
    <w:rsid w:val="001F6652"/>
    <w:rsid w:val="00201138"/>
    <w:rsid w:val="00206AA2"/>
    <w:rsid w:val="00242FAA"/>
    <w:rsid w:val="00247098"/>
    <w:rsid w:val="00261447"/>
    <w:rsid w:val="002A6C3B"/>
    <w:rsid w:val="002C45A6"/>
    <w:rsid w:val="002E5AB7"/>
    <w:rsid w:val="002F2132"/>
    <w:rsid w:val="0031708F"/>
    <w:rsid w:val="00322657"/>
    <w:rsid w:val="0033482F"/>
    <w:rsid w:val="00343476"/>
    <w:rsid w:val="00352AD9"/>
    <w:rsid w:val="00380888"/>
    <w:rsid w:val="003844B8"/>
    <w:rsid w:val="003C568F"/>
    <w:rsid w:val="004057B3"/>
    <w:rsid w:val="00437EB0"/>
    <w:rsid w:val="004434BC"/>
    <w:rsid w:val="00454A15"/>
    <w:rsid w:val="00464D0C"/>
    <w:rsid w:val="00470BC4"/>
    <w:rsid w:val="004835A4"/>
    <w:rsid w:val="004A44C1"/>
    <w:rsid w:val="004D6960"/>
    <w:rsid w:val="004D76AF"/>
    <w:rsid w:val="004E0CEE"/>
    <w:rsid w:val="005307C8"/>
    <w:rsid w:val="00532C76"/>
    <w:rsid w:val="00557989"/>
    <w:rsid w:val="00581269"/>
    <w:rsid w:val="00596DDD"/>
    <w:rsid w:val="005A35D4"/>
    <w:rsid w:val="005D5D96"/>
    <w:rsid w:val="00600084"/>
    <w:rsid w:val="006024A9"/>
    <w:rsid w:val="006029B7"/>
    <w:rsid w:val="00604F77"/>
    <w:rsid w:val="00622D7C"/>
    <w:rsid w:val="00644D9B"/>
    <w:rsid w:val="00647F33"/>
    <w:rsid w:val="00693389"/>
    <w:rsid w:val="006A558A"/>
    <w:rsid w:val="006B2D8E"/>
    <w:rsid w:val="006B31C0"/>
    <w:rsid w:val="006B334B"/>
    <w:rsid w:val="006C06B5"/>
    <w:rsid w:val="006C51CA"/>
    <w:rsid w:val="006C676D"/>
    <w:rsid w:val="006C7F61"/>
    <w:rsid w:val="006D1CFA"/>
    <w:rsid w:val="006D7754"/>
    <w:rsid w:val="006E7236"/>
    <w:rsid w:val="00706FD5"/>
    <w:rsid w:val="00713729"/>
    <w:rsid w:val="007174DB"/>
    <w:rsid w:val="0074033C"/>
    <w:rsid w:val="007662CA"/>
    <w:rsid w:val="007771EB"/>
    <w:rsid w:val="00796734"/>
    <w:rsid w:val="007A286D"/>
    <w:rsid w:val="007A434D"/>
    <w:rsid w:val="008250B5"/>
    <w:rsid w:val="008375AF"/>
    <w:rsid w:val="00873517"/>
    <w:rsid w:val="00885498"/>
    <w:rsid w:val="00893FEC"/>
    <w:rsid w:val="008C076A"/>
    <w:rsid w:val="008C4D95"/>
    <w:rsid w:val="008C4FA9"/>
    <w:rsid w:val="008F3006"/>
    <w:rsid w:val="008F406D"/>
    <w:rsid w:val="0094180D"/>
    <w:rsid w:val="00944D7C"/>
    <w:rsid w:val="009523C7"/>
    <w:rsid w:val="009612C5"/>
    <w:rsid w:val="0097263C"/>
    <w:rsid w:val="00975724"/>
    <w:rsid w:val="00976DED"/>
    <w:rsid w:val="009A59C5"/>
    <w:rsid w:val="009D017C"/>
    <w:rsid w:val="009F10F2"/>
    <w:rsid w:val="009F642A"/>
    <w:rsid w:val="00A10A2D"/>
    <w:rsid w:val="00A303AC"/>
    <w:rsid w:val="00A616A1"/>
    <w:rsid w:val="00A736B2"/>
    <w:rsid w:val="00A76D3F"/>
    <w:rsid w:val="00A8374F"/>
    <w:rsid w:val="00A841EB"/>
    <w:rsid w:val="00A92F59"/>
    <w:rsid w:val="00AB36E3"/>
    <w:rsid w:val="00AE1000"/>
    <w:rsid w:val="00AF44F6"/>
    <w:rsid w:val="00B55EE1"/>
    <w:rsid w:val="00B60CF8"/>
    <w:rsid w:val="00B91772"/>
    <w:rsid w:val="00BB238B"/>
    <w:rsid w:val="00BC0D42"/>
    <w:rsid w:val="00BD5056"/>
    <w:rsid w:val="00C0448A"/>
    <w:rsid w:val="00C554A1"/>
    <w:rsid w:val="00C67FAA"/>
    <w:rsid w:val="00C73072"/>
    <w:rsid w:val="00C758D1"/>
    <w:rsid w:val="00CD0F42"/>
    <w:rsid w:val="00CE617F"/>
    <w:rsid w:val="00CF1409"/>
    <w:rsid w:val="00CF3D30"/>
    <w:rsid w:val="00CF40E5"/>
    <w:rsid w:val="00D05E4B"/>
    <w:rsid w:val="00D25B05"/>
    <w:rsid w:val="00D80645"/>
    <w:rsid w:val="00D81A92"/>
    <w:rsid w:val="00D82460"/>
    <w:rsid w:val="00DC7F5F"/>
    <w:rsid w:val="00DD5B8C"/>
    <w:rsid w:val="00DF2B87"/>
    <w:rsid w:val="00DF5F60"/>
    <w:rsid w:val="00E3326C"/>
    <w:rsid w:val="00E63482"/>
    <w:rsid w:val="00E801F5"/>
    <w:rsid w:val="00EB13B2"/>
    <w:rsid w:val="00ED7CBA"/>
    <w:rsid w:val="00EE37BE"/>
    <w:rsid w:val="00F06B97"/>
    <w:rsid w:val="00F11278"/>
    <w:rsid w:val="00F170D5"/>
    <w:rsid w:val="00F52283"/>
    <w:rsid w:val="00F700F1"/>
    <w:rsid w:val="00F72C24"/>
    <w:rsid w:val="00F84E0A"/>
    <w:rsid w:val="00FB35A2"/>
    <w:rsid w:val="00FC572B"/>
    <w:rsid w:val="021F336B"/>
    <w:rsid w:val="08936768"/>
    <w:rsid w:val="11EB165A"/>
    <w:rsid w:val="215B1312"/>
    <w:rsid w:val="2A897906"/>
    <w:rsid w:val="304615F4"/>
    <w:rsid w:val="354511EB"/>
    <w:rsid w:val="3DD36523"/>
    <w:rsid w:val="3EE0053B"/>
    <w:rsid w:val="429D7EC6"/>
    <w:rsid w:val="4357626F"/>
    <w:rsid w:val="4501667B"/>
    <w:rsid w:val="46EF5985"/>
    <w:rsid w:val="4A2F3837"/>
    <w:rsid w:val="4D275B1B"/>
    <w:rsid w:val="4FC13235"/>
    <w:rsid w:val="548F1D2D"/>
    <w:rsid w:val="54FB0EE8"/>
    <w:rsid w:val="62610884"/>
    <w:rsid w:val="63D33864"/>
    <w:rsid w:val="66B91DEC"/>
    <w:rsid w:val="6A8232BC"/>
    <w:rsid w:val="6C882B08"/>
    <w:rsid w:val="715524DB"/>
    <w:rsid w:val="71FA6404"/>
    <w:rsid w:val="7AF82B12"/>
    <w:rsid w:val="7EEC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8906C0C-52F0-4A93-9750-AE939614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jc w:val="center"/>
      <w:outlineLvl w:val="0"/>
    </w:pPr>
    <w:rPr>
      <w:rFonts w:ascii="Calibri" w:eastAsia="方正小标宋简体" w:hAnsi="Calibri"/>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styleId="a5">
    <w:name w:val="annotation reference"/>
    <w:semiHidden/>
    <w:rPr>
      <w:sz w:val="21"/>
    </w:rPr>
  </w:style>
  <w:style w:type="character" w:customStyle="1" w:styleId="Char">
    <w:name w:val="页眉 Char"/>
    <w:link w:val="a6"/>
    <w:rPr>
      <w:rFonts w:ascii="Times New Roman" w:eastAsia="仿宋_GB2312" w:hAnsi="Times New Roman" w:cs="Times New Roman"/>
      <w:kern w:val="2"/>
      <w:sz w:val="18"/>
      <w:szCs w:val="18"/>
    </w:rPr>
  </w:style>
  <w:style w:type="character" w:customStyle="1" w:styleId="Char0">
    <w:name w:val="批注文字 Char"/>
    <w:link w:val="a7"/>
    <w:rPr>
      <w:rFonts w:ascii="Times New Roman" w:eastAsia="仿宋_GB2312" w:hAnsi="Times New Roman" w:cs="Times New Roman"/>
      <w:kern w:val="2"/>
      <w:sz w:val="32"/>
      <w:szCs w:val="32"/>
    </w:rPr>
  </w:style>
  <w:style w:type="character" w:customStyle="1" w:styleId="Char1">
    <w:name w:val="批注主题 Char"/>
    <w:link w:val="a8"/>
    <w:rPr>
      <w:rFonts w:ascii="Times New Roman" w:eastAsia="仿宋_GB2312" w:hAnsi="Times New Roman" w:cs="Times New Roman"/>
      <w:b/>
      <w:bCs/>
      <w:kern w:val="2"/>
      <w:sz w:val="32"/>
      <w:szCs w:val="32"/>
    </w:rPr>
  </w:style>
  <w:style w:type="character" w:customStyle="1" w:styleId="Char2">
    <w:name w:val="页脚 Char"/>
    <w:link w:val="a9"/>
    <w:uiPriority w:val="99"/>
    <w:rPr>
      <w:rFonts w:eastAsia="仿宋_GB2312"/>
      <w:kern w:val="2"/>
      <w:sz w:val="18"/>
      <w:szCs w:val="18"/>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lang w:val="x-none" w:eastAsia="x-none"/>
    </w:rPr>
  </w:style>
  <w:style w:type="paragraph" w:styleId="a7">
    <w:name w:val="annotation text"/>
    <w:basedOn w:val="a"/>
    <w:link w:val="Char0"/>
    <w:semiHidden/>
    <w:pPr>
      <w:jc w:val="left"/>
    </w:pPr>
    <w:rPr>
      <w:szCs w:val="32"/>
      <w:lang w:val="x-none" w:eastAsia="x-none"/>
    </w:rPr>
  </w:style>
  <w:style w:type="paragraph" w:styleId="a8">
    <w:name w:val="annotation subject"/>
    <w:basedOn w:val="a7"/>
    <w:next w:val="a7"/>
    <w:link w:val="Char1"/>
    <w:rPr>
      <w:b/>
      <w:bCs/>
    </w:rPr>
  </w:style>
  <w:style w:type="paragraph" w:styleId="a9">
    <w:name w:val="footer"/>
    <w:basedOn w:val="a"/>
    <w:link w:val="Char2"/>
    <w:uiPriority w:val="99"/>
    <w:pPr>
      <w:tabs>
        <w:tab w:val="center" w:pos="4153"/>
        <w:tab w:val="right" w:pos="8306"/>
      </w:tabs>
      <w:snapToGrid w:val="0"/>
      <w:jc w:val="left"/>
    </w:pPr>
    <w:rPr>
      <w:sz w:val="18"/>
      <w:szCs w:val="18"/>
      <w:lang w:val="x-none" w:eastAsia="x-none"/>
    </w:rPr>
  </w:style>
  <w:style w:type="paragraph" w:styleId="aa">
    <w:name w:val="Balloon Text"/>
    <w:basedOn w:val="a"/>
    <w:semiHidden/>
    <w:rPr>
      <w:sz w:val="18"/>
      <w:szCs w:val="18"/>
    </w:rPr>
  </w:style>
  <w:style w:type="paragraph" w:customStyle="1" w:styleId="21">
    <w:name w:val="正文首行缩进 21"/>
    <w:qFormat/>
    <w:pPr>
      <w:widowControl w:val="0"/>
      <w:spacing w:after="120"/>
      <w:ind w:leftChars="200" w:left="420"/>
      <w:jc w:val="both"/>
    </w:pPr>
    <w:rPr>
      <w:kern w:val="2"/>
      <w:sz w:val="32"/>
      <w:szCs w:val="22"/>
    </w:rPr>
  </w:style>
  <w:style w:type="paragraph" w:customStyle="1" w:styleId="CharCharCharChar">
    <w:name w:val="Char Char Char Char"/>
    <w:basedOn w:val="a"/>
    <w:rPr>
      <w:rFonts w:ascii="仿宋_GB2312"/>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972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2021年度浙江社科规划“推进长三角一体化发展合作”专项课题选题.docx</Template>
  <TotalTime>0</TotalTime>
  <Pages>3</Pages>
  <Words>374</Words>
  <Characters>2136</Characters>
  <Application>Microsoft Office Word</Application>
  <DocSecurity>0</DocSecurity>
  <Lines>17</Lines>
  <Paragraphs>5</Paragraphs>
  <ScaleCrop>false</ScaleCrop>
  <Company>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浙计经[1998] 0号</dc:title>
  <dc:subject/>
  <dc:creator>CN=Manager/O=ZJXXZX/C=CN</dc:creator>
  <cp:keywords/>
  <cp:lastModifiedBy>admin</cp:lastModifiedBy>
  <cp:revision>2</cp:revision>
  <cp:lastPrinted>2009-09-02T07:39:00Z</cp:lastPrinted>
  <dcterms:created xsi:type="dcterms:W3CDTF">2021-06-30T08:00:00Z</dcterms:created>
  <dcterms:modified xsi:type="dcterms:W3CDTF">2021-06-30T08:00:00Z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title">
    <vt:lpwstr> 省发改委关于通知 </vt:lpwstr>
  </property>
  <property fmtid="{D5CDD505-2E9C-101B-9397-08002B2CF9AE}" pid="3" name="category">
    <vt:lpwstr/>
  </property>
  <property fmtid="{D5CDD505-2E9C-101B-9397-08002B2CF9AE}" pid="4" name="copyto_2">
    <vt:lpwstr>   </vt:lpwstr>
  </property>
  <property fmtid="{D5CDD505-2E9C-101B-9397-08002B2CF9AE}" pid="5" name="filekind">
    <vt:lpwstr/>
  </property>
  <property fmtid="{D5CDD505-2E9C-101B-9397-08002B2CF9AE}" pid="6" name="sendto_2">
    <vt:lpwstr>各处室，委管、委属各单位</vt:lpwstr>
  </property>
  <property fmtid="{D5CDD505-2E9C-101B-9397-08002B2CF9AE}" pid="7" name="filestencil">
    <vt:lpwstr>浙江省发展和改革委员会</vt:lpwstr>
  </property>
  <property fmtid="{D5CDD505-2E9C-101B-9397-08002B2CF9AE}" pid="8" name="KSOProductBuildVer">
    <vt:lpwstr>2052-11.1.0.10314</vt:lpwstr>
  </property>
</Properties>
</file>