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contextualSpacing/>
        <w:rPr>
          <w:rFonts w:ascii="黑体" w:hAnsi="黑体" w:eastAsia="黑体" w:cs="Times New Roman"/>
          <w:sz w:val="32"/>
          <w:szCs w:val="32"/>
        </w:rPr>
      </w:pPr>
      <w:r>
        <w:rPr>
          <w:rFonts w:hint="eastAsia" w:ascii="黑体" w:hAnsi="黑体" w:eastAsia="黑体" w:cs="Times New Roman"/>
          <w:sz w:val="32"/>
          <w:szCs w:val="32"/>
        </w:rPr>
        <w:t>附件</w:t>
      </w:r>
    </w:p>
    <w:p>
      <w:pPr>
        <w:widowControl/>
        <w:spacing w:line="600" w:lineRule="exact"/>
        <w:contextualSpacing/>
        <w:rPr>
          <w:rFonts w:ascii="Times New Roman" w:hAnsi="Times New Roman" w:eastAsia="仿宋_GB2312" w:cs="Times New Roman"/>
          <w:sz w:val="32"/>
          <w:szCs w:val="32"/>
        </w:rPr>
      </w:pPr>
      <w:bookmarkStart w:id="12" w:name="_GoBack"/>
      <w:bookmarkEnd w:id="12"/>
    </w:p>
    <w:p>
      <w:pPr>
        <w:adjustRightInd w:val="0"/>
        <w:spacing w:line="600" w:lineRule="exact"/>
        <w:contextualSpacing/>
        <w:jc w:val="center"/>
        <w:rPr>
          <w:rFonts w:hint="eastAsia" w:ascii="宋体" w:hAnsi="宋体" w:eastAsia="宋体" w:cs="宋体"/>
          <w:b/>
          <w:bCs/>
          <w:sz w:val="44"/>
          <w:szCs w:val="44"/>
        </w:rPr>
      </w:pPr>
      <w:r>
        <w:rPr>
          <w:rFonts w:hint="eastAsia" w:ascii="宋体" w:hAnsi="宋体" w:eastAsia="宋体" w:cs="宋体"/>
          <w:b/>
          <w:bCs/>
          <w:sz w:val="44"/>
          <w:szCs w:val="44"/>
        </w:rPr>
        <w:t>第九届高等学校科学研究优秀成果奖</w:t>
      </w:r>
    </w:p>
    <w:p>
      <w:pPr>
        <w:adjustRightInd w:val="0"/>
        <w:spacing w:line="600" w:lineRule="exact"/>
        <w:contextualSpacing/>
        <w:jc w:val="center"/>
        <w:rPr>
          <w:rFonts w:hint="eastAsia" w:ascii="宋体" w:hAnsi="宋体" w:eastAsia="宋体" w:cs="宋体"/>
          <w:b/>
          <w:bCs/>
          <w:sz w:val="36"/>
          <w:szCs w:val="36"/>
        </w:rPr>
      </w:pPr>
      <w:r>
        <w:rPr>
          <w:rFonts w:hint="eastAsia" w:ascii="宋体" w:hAnsi="宋体" w:eastAsia="宋体" w:cs="宋体"/>
          <w:b/>
          <w:bCs/>
          <w:sz w:val="44"/>
          <w:szCs w:val="44"/>
        </w:rPr>
        <w:t>(人文社会科学)实施办法</w:t>
      </w:r>
    </w:p>
    <w:p>
      <w:pPr>
        <w:adjustRightInd w:val="0"/>
        <w:spacing w:line="600" w:lineRule="exact"/>
        <w:contextualSpacing/>
        <w:jc w:val="center"/>
        <w:rPr>
          <w:rFonts w:hint="eastAsia" w:ascii="宋体" w:hAnsi="宋体" w:eastAsia="宋体" w:cs="宋体"/>
          <w:b/>
          <w:bCs/>
          <w:sz w:val="32"/>
          <w:szCs w:val="32"/>
        </w:rPr>
      </w:pPr>
    </w:p>
    <w:p>
      <w:pPr>
        <w:widowControl/>
        <w:spacing w:line="600" w:lineRule="exact"/>
        <w:ind w:firstLine="640" w:firstLineChars="200"/>
        <w:contextualSpacing/>
        <w:rPr>
          <w:rFonts w:ascii="Times New Roman" w:hAnsi="Times New Roman" w:eastAsia="仿宋_GB2312" w:cs="Times New Roman"/>
          <w:sz w:val="32"/>
          <w:szCs w:val="32"/>
        </w:rPr>
      </w:pPr>
      <w:bookmarkStart w:id="0" w:name="_Hlk117700755"/>
      <w:r>
        <w:rPr>
          <w:rFonts w:hint="eastAsia" w:ascii="Times New Roman" w:hAnsi="Times New Roman" w:eastAsia="仿宋_GB2312" w:cs="Times New Roman"/>
          <w:sz w:val="32"/>
          <w:szCs w:val="32"/>
        </w:rPr>
        <w:t>为认真学习宣传贯彻党的二十大精神，全面贯彻习近平新时代中国特色社会主义思想，深入贯彻落实习近平总书记关于教育的重要论述、关于哲学社会科学工作的重要论述，推动高校加快构建中国特色哲学社会科学，建构中国自主的知识体系，</w:t>
      </w:r>
      <w:bookmarkEnd w:id="0"/>
      <w:r>
        <w:rPr>
          <w:rFonts w:hint="eastAsia" w:ascii="Times New Roman" w:hAnsi="Times New Roman" w:eastAsia="仿宋_GB2312" w:cs="Times New Roman"/>
          <w:sz w:val="32"/>
          <w:szCs w:val="32"/>
        </w:rPr>
        <w:t>充分发挥高等学校科学研究优秀成果奖（人文社会科学）激励导向作用，增强评奖工作的权威性、公正性和透明度，根据</w:t>
      </w:r>
      <w:bookmarkStart w:id="1" w:name="_Hlk117700872"/>
      <w:r>
        <w:rPr>
          <w:rFonts w:hint="eastAsia" w:ascii="Times New Roman" w:hAnsi="Times New Roman" w:eastAsia="仿宋_GB2312" w:cs="Times New Roman"/>
          <w:sz w:val="32"/>
          <w:szCs w:val="32"/>
        </w:rPr>
        <w:t>《面向</w:t>
      </w:r>
      <w:r>
        <w:rPr>
          <w:rFonts w:ascii="Times New Roman" w:hAnsi="Times New Roman" w:eastAsia="仿宋_GB2312" w:cs="Times New Roman"/>
          <w:sz w:val="32"/>
          <w:szCs w:val="32"/>
        </w:rPr>
        <w:t>2035</w:t>
      </w:r>
      <w:r>
        <w:rPr>
          <w:rFonts w:hint="eastAsia" w:ascii="Times New Roman" w:hAnsi="Times New Roman" w:eastAsia="仿宋_GB2312" w:cs="Times New Roman"/>
          <w:sz w:val="32"/>
          <w:szCs w:val="32"/>
        </w:rPr>
        <w:t>高校哲学社会科学高质量发展行动计划》《哲学社会科学知识体系建构和高校咨政服务能力提升工程实施方案》</w:t>
      </w:r>
      <w:bookmarkEnd w:id="1"/>
      <w:r>
        <w:rPr>
          <w:rFonts w:hint="eastAsia" w:ascii="Times New Roman" w:hAnsi="Times New Roman" w:eastAsia="仿宋_GB2312" w:cs="Times New Roman"/>
          <w:sz w:val="32"/>
          <w:szCs w:val="32"/>
        </w:rPr>
        <w:t>和《高等学校科学研究优秀成果奖（人文社会科学）奖励办法》，结合历届评奖工作情况，制定本办法。</w:t>
      </w:r>
    </w:p>
    <w:p>
      <w:pPr>
        <w:widowControl/>
        <w:spacing w:line="600" w:lineRule="exact"/>
        <w:ind w:firstLine="640" w:firstLineChars="200"/>
        <w:contextualSpacing/>
        <w:rPr>
          <w:rFonts w:ascii="Times New Roman" w:hAnsi="Times New Roman" w:eastAsia="仿宋_GB2312"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第一章</w:t>
      </w:r>
      <w:r>
        <w:rPr>
          <w:rFonts w:ascii="Times New Roman" w:hAnsi="Times New Roman" w:eastAsia="黑体" w:cs="Times New Roman"/>
          <w:sz w:val="32"/>
          <w:szCs w:val="32"/>
        </w:rPr>
        <w:t xml:space="preserve">  </w:t>
      </w:r>
      <w:r>
        <w:rPr>
          <w:rFonts w:ascii="Times New Roman" w:hAnsi="黑体" w:eastAsia="黑体" w:cs="Times New Roman"/>
          <w:sz w:val="32"/>
          <w:szCs w:val="32"/>
        </w:rPr>
        <w:t>指导思想</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spacing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第一条</w:t>
      </w:r>
      <w:r>
        <w:rPr>
          <w:rFonts w:ascii="Times New Roman" w:hAnsi="Times New Roman" w:eastAsia="楷体" w:cs="Times New Roman"/>
          <w:sz w:val="32"/>
          <w:szCs w:val="32"/>
        </w:rPr>
        <w:t xml:space="preserve"> </w:t>
      </w:r>
      <w:r>
        <w:rPr>
          <w:rFonts w:hint="eastAsia" w:ascii="Times New Roman" w:hAnsi="Times New Roman" w:eastAsia="仿宋_GB2312" w:cs="Times New Roman"/>
          <w:sz w:val="32"/>
          <w:szCs w:val="32"/>
        </w:rPr>
        <w:t>高举中国特色社会主义伟大旗帜，以习近平新时代中国特色社会主义思想为指导，坚持</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百花齐放、百家争鸣”的方针，坚持“四个服务”，以质量和贡献为导向，以多元分类评价为抓手，通过优秀成果评奖工作，充分展示党的十九大以来高校哲学社会科学发展成就，推动高校在加快构建中国特色哲学社会科学学科体系、学术体系和话语体系上迈出更大步伐，为全面建设社会主义现代化国家、全面推进中华民族伟大复兴作出更大贡献。</w:t>
      </w:r>
    </w:p>
    <w:p>
      <w:pPr>
        <w:spacing w:line="600" w:lineRule="exact"/>
        <w:ind w:firstLine="640" w:firstLineChars="200"/>
        <w:contextualSpacing/>
        <w:rPr>
          <w:rFonts w:ascii="Times New Roman" w:hAnsi="Times New Roman" w:eastAsia="仿宋_GB2312"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第二章</w:t>
      </w:r>
      <w:r>
        <w:rPr>
          <w:rFonts w:ascii="Times New Roman" w:hAnsi="Times New Roman" w:eastAsia="黑体" w:cs="Times New Roman"/>
          <w:sz w:val="32"/>
          <w:szCs w:val="32"/>
        </w:rPr>
        <w:t xml:space="preserve"> </w:t>
      </w:r>
      <w:r>
        <w:rPr>
          <w:rFonts w:ascii="Times New Roman" w:hAnsi="黑体" w:eastAsia="黑体" w:cs="Times New Roman"/>
          <w:sz w:val="32"/>
          <w:szCs w:val="32"/>
        </w:rPr>
        <w:t>奖励范围和奖项设置</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楷体" w:eastAsia="楷体" w:cs="Times New Roman"/>
          <w:sz w:val="32"/>
          <w:szCs w:val="32"/>
        </w:rPr>
        <w:t>第二条</w:t>
      </w:r>
      <w:r>
        <w:rPr>
          <w:rFonts w:ascii="Times New Roman" w:hAnsi="Times New Roman" w:eastAsia="楷体" w:cs="Times New Roman"/>
          <w:sz w:val="32"/>
          <w:szCs w:val="32"/>
        </w:rPr>
        <w:t xml:space="preserve"> </w:t>
      </w:r>
      <w:r>
        <w:rPr>
          <w:rFonts w:hint="eastAsia" w:ascii="Times New Roman" w:hAnsi="Times New Roman" w:eastAsia="仿宋_GB2312" w:cs="Times New Roman"/>
          <w:sz w:val="32"/>
          <w:szCs w:val="32"/>
        </w:rPr>
        <w:t>根据国家标准《学科分类与代码》（</w:t>
      </w:r>
      <w:r>
        <w:rPr>
          <w:rFonts w:ascii="Times New Roman" w:hAnsi="Times New Roman" w:eastAsia="仿宋_GB2312" w:cs="Times New Roman"/>
          <w:sz w:val="32"/>
          <w:szCs w:val="32"/>
        </w:rPr>
        <w:t>GB/T13745-2009</w:t>
      </w:r>
      <w:r>
        <w:rPr>
          <w:rFonts w:hint="eastAsia" w:ascii="Times New Roman" w:hAnsi="Times New Roman" w:eastAsia="仿宋_GB2312" w:cs="Times New Roman"/>
          <w:sz w:val="32"/>
          <w:szCs w:val="32"/>
        </w:rPr>
        <w:t>），参考国务院学位委员会、教育部印发的《</w:t>
      </w:r>
      <w:r>
        <w:rPr>
          <w:rFonts w:hint="eastAsia" w:eastAsia="仿宋_GB2312"/>
          <w:sz w:val="32"/>
          <w:szCs w:val="32"/>
        </w:rPr>
        <w:t>研究生教育学科专业目录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w:t>
      </w:r>
      <w:r>
        <w:rPr>
          <w:rFonts w:hint="eastAsia" w:eastAsia="仿宋_GB2312"/>
          <w:sz w:val="32"/>
          <w:szCs w:val="32"/>
        </w:rPr>
        <w:t>）</w:t>
      </w:r>
      <w:r>
        <w:rPr>
          <w:rFonts w:hint="eastAsia" w:ascii="Times New Roman" w:hAnsi="Times New Roman" w:eastAsia="仿宋_GB2312" w:cs="Times New Roman"/>
          <w:sz w:val="32"/>
          <w:szCs w:val="32"/>
        </w:rPr>
        <w:t>》和《国家社会科学基金项目申报数据代码表》的学科分类，借鉴历届评奖经验做法，适应新时代高校哲学社会科学发展需要，本届评奖的受理成果范围包括：</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.马克思主义理论；</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.党的创新理论研究；</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.中共党史党建学；</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.思想政治教育；</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.哲学；</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.宗教学；</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.语言学；</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.中国文学；</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.外国文学；</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.艺术学；</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.历史学；</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.考古学；</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.经济学；</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.政治学；</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.法学；</w:t>
      </w:r>
      <w:r>
        <w:rPr>
          <w:rFonts w:ascii="Times New Roman" w:hAnsi="Times New Roman" w:eastAsia="仿宋_GB2312" w:cs="Times New Roman"/>
          <w:sz w:val="32"/>
          <w:szCs w:val="32"/>
        </w:rPr>
        <w:t>16</w:t>
      </w:r>
      <w:r>
        <w:rPr>
          <w:rFonts w:hint="eastAsia" w:ascii="Times New Roman" w:hAnsi="Times New Roman" w:eastAsia="仿宋_GB2312" w:cs="Times New Roman"/>
          <w:sz w:val="32"/>
          <w:szCs w:val="32"/>
        </w:rPr>
        <w:t>.社会学；</w:t>
      </w:r>
      <w:r>
        <w:rPr>
          <w:rFonts w:ascii="Times New Roman" w:hAnsi="Times New Roman" w:eastAsia="仿宋_GB2312" w:cs="Times New Roman"/>
          <w:sz w:val="32"/>
          <w:szCs w:val="32"/>
        </w:rPr>
        <w:t>17</w:t>
      </w:r>
      <w:r>
        <w:rPr>
          <w:rFonts w:hint="eastAsia" w:ascii="Times New Roman" w:hAnsi="Times New Roman" w:eastAsia="仿宋_GB2312" w:cs="Times New Roman"/>
          <w:sz w:val="32"/>
          <w:szCs w:val="32"/>
        </w:rPr>
        <w:t>.人口学；</w:t>
      </w:r>
      <w:r>
        <w:rPr>
          <w:rFonts w:ascii="Times New Roman" w:hAnsi="Times New Roman" w:eastAsia="仿宋_GB2312" w:cs="Times New Roman"/>
          <w:sz w:val="32"/>
          <w:szCs w:val="32"/>
        </w:rPr>
        <w:t>18</w:t>
      </w:r>
      <w:r>
        <w:rPr>
          <w:rFonts w:hint="eastAsia" w:ascii="Times New Roman" w:hAnsi="Times New Roman" w:eastAsia="仿宋_GB2312" w:cs="Times New Roman"/>
          <w:sz w:val="32"/>
          <w:szCs w:val="32"/>
        </w:rPr>
        <w:t>.民族学与文化学；</w:t>
      </w:r>
      <w:r>
        <w:rPr>
          <w:rFonts w:ascii="Times New Roman" w:hAnsi="Times New Roman" w:eastAsia="仿宋_GB2312" w:cs="Times New Roman"/>
          <w:sz w:val="32"/>
          <w:szCs w:val="32"/>
        </w:rPr>
        <w:t>19</w:t>
      </w:r>
      <w:r>
        <w:rPr>
          <w:rFonts w:hint="eastAsia" w:ascii="Times New Roman" w:hAnsi="Times New Roman" w:eastAsia="仿宋_GB2312" w:cs="Times New Roman"/>
          <w:sz w:val="32"/>
          <w:szCs w:val="32"/>
        </w:rPr>
        <w:t>.新闻学与传播学；</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.图书馆、情报与文献学；</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.教育学；</w:t>
      </w: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.体育学；</w:t>
      </w: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.统计学；</w:t>
      </w: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.心理学；</w:t>
      </w:r>
      <w:r>
        <w:rPr>
          <w:rFonts w:ascii="Times New Roman" w:hAnsi="Times New Roman" w:eastAsia="仿宋_GB2312" w:cs="Times New Roman"/>
          <w:sz w:val="32"/>
          <w:szCs w:val="32"/>
        </w:rPr>
        <w:t>25</w:t>
      </w:r>
      <w:r>
        <w:rPr>
          <w:rFonts w:hint="eastAsia" w:ascii="Times New Roman" w:hAnsi="Times New Roman" w:eastAsia="仿宋_GB2312" w:cs="Times New Roman"/>
          <w:sz w:val="32"/>
          <w:szCs w:val="32"/>
        </w:rPr>
        <w:t>.管理学；</w:t>
      </w:r>
      <w:r>
        <w:rPr>
          <w:rFonts w:ascii="Times New Roman" w:hAnsi="Times New Roman" w:eastAsia="仿宋_GB2312" w:cs="Times New Roman"/>
          <w:sz w:val="32"/>
          <w:szCs w:val="32"/>
        </w:rPr>
        <w:t>26</w:t>
      </w:r>
      <w:r>
        <w:rPr>
          <w:rFonts w:hint="eastAsia" w:ascii="Times New Roman" w:hAnsi="Times New Roman" w:eastAsia="仿宋_GB2312" w:cs="Times New Roman"/>
          <w:sz w:val="32"/>
          <w:szCs w:val="32"/>
        </w:rPr>
        <w:t>.港澳台问题研究；</w:t>
      </w:r>
      <w:r>
        <w:rPr>
          <w:rFonts w:ascii="Times New Roman" w:hAnsi="Times New Roman" w:eastAsia="仿宋_GB2312" w:cs="Times New Roman"/>
          <w:sz w:val="32"/>
          <w:szCs w:val="32"/>
        </w:rPr>
        <w:t>27</w:t>
      </w:r>
      <w:r>
        <w:rPr>
          <w:rFonts w:hint="eastAsia" w:ascii="Times New Roman" w:hAnsi="Times New Roman" w:eastAsia="仿宋_GB2312" w:cs="Times New Roman"/>
          <w:sz w:val="32"/>
          <w:szCs w:val="32"/>
        </w:rPr>
        <w:t>.国际问题研究；2</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.区域国别学；</w:t>
      </w:r>
      <w:r>
        <w:rPr>
          <w:rFonts w:ascii="Times New Roman" w:hAnsi="Times New Roman" w:eastAsia="仿宋_GB2312" w:cs="Times New Roman"/>
          <w:sz w:val="32"/>
          <w:szCs w:val="32"/>
        </w:rPr>
        <w:t>29</w:t>
      </w:r>
      <w:r>
        <w:rPr>
          <w:rFonts w:hint="eastAsia" w:ascii="Times New Roman" w:hAnsi="Times New Roman" w:eastAsia="仿宋_GB2312" w:cs="Times New Roman"/>
          <w:sz w:val="32"/>
          <w:szCs w:val="32"/>
        </w:rPr>
        <w:t>.交叉学科。</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第三条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本届评奖包括以下类型成果：</w:t>
      </w:r>
      <w:r>
        <w:rPr>
          <w:rFonts w:ascii="Times New Roman" w:hAnsi="Times New Roman" w:eastAsia="仿宋_GB2312" w:cs="Times New Roman"/>
          <w:sz w:val="32"/>
          <w:szCs w:val="32"/>
        </w:rPr>
        <w:t>1</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著作（含专著</w:t>
      </w:r>
      <w:r>
        <w:rPr>
          <w:rFonts w:hint="eastAsia" w:ascii="Times New Roman" w:hAnsi="Times New Roman" w:eastAsia="仿宋_GB2312" w:cs="Times New Roman"/>
          <w:color w:val="000000" w:themeColor="text1"/>
          <w:sz w:val="32"/>
          <w:szCs w:val="32"/>
          <w14:textFill>
            <w14:solidFill>
              <w14:schemeClr w14:val="tx1"/>
            </w14:solidFill>
          </w14:textFill>
        </w:rPr>
        <w:t>、编著、</w:t>
      </w:r>
      <w:r>
        <w:rPr>
          <w:rFonts w:hint="eastAsia" w:ascii="Times New Roman" w:hAnsi="Times New Roman" w:eastAsia="仿宋_GB2312" w:cs="Times New Roman"/>
          <w:sz w:val="32"/>
          <w:szCs w:val="32"/>
        </w:rPr>
        <w:t>译著、工具书、古籍整理等）；</w:t>
      </w:r>
      <w:r>
        <w:rPr>
          <w:rFonts w:ascii="Times New Roman" w:hAnsi="Times New Roman" w:eastAsia="仿宋_GB2312" w:cs="Times New Roman"/>
          <w:sz w:val="32"/>
          <w:szCs w:val="32"/>
        </w:rPr>
        <w:t>2</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论文；</w:t>
      </w:r>
      <w:r>
        <w:rPr>
          <w:rFonts w:ascii="Times New Roman" w:hAnsi="Times New Roman" w:eastAsia="仿宋_GB2312" w:cs="Times New Roman"/>
          <w:sz w:val="32"/>
          <w:szCs w:val="32"/>
        </w:rPr>
        <w:t>3</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咨询服务报告；</w:t>
      </w:r>
      <w:r>
        <w:rPr>
          <w:rFonts w:ascii="Times New Roman" w:hAnsi="Times New Roman" w:eastAsia="仿宋_GB2312" w:cs="Times New Roman"/>
          <w:sz w:val="32"/>
          <w:szCs w:val="32"/>
        </w:rPr>
        <w:t>4</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普及读物。</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第四条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sz w:val="32"/>
          <w:szCs w:val="32"/>
        </w:rPr>
        <w:t>本届评奖的奖项分为：著作论文奖、咨询服务报告奖、普及读物奖、青年成果奖。著作论文奖、咨询服务报告奖分设特等奖、一等奖、二等奖、三等奖，普及读物奖和青年成果奖不分等级。按照确保质量原则，允许各类、各等级奖项有空缺。</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第五条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sz w:val="32"/>
          <w:szCs w:val="32"/>
        </w:rPr>
        <w:t>本届评奖的</w:t>
      </w:r>
      <w:bookmarkStart w:id="2" w:name="_Hlk98316548"/>
      <w:r>
        <w:rPr>
          <w:rFonts w:hint="eastAsia" w:ascii="Times New Roman" w:hAnsi="Times New Roman" w:eastAsia="仿宋_GB2312" w:cs="Times New Roman"/>
          <w:sz w:val="32"/>
          <w:szCs w:val="32"/>
        </w:rPr>
        <w:t>奖励名额总计</w:t>
      </w:r>
      <w:r>
        <w:rPr>
          <w:rFonts w:ascii="Times New Roman" w:hAnsi="Times New Roman" w:eastAsia="仿宋_GB2312" w:cs="Times New Roman"/>
          <w:sz w:val="32"/>
          <w:szCs w:val="32"/>
        </w:rPr>
        <w:t>1500</w:t>
      </w:r>
      <w:r>
        <w:rPr>
          <w:rFonts w:hint="eastAsia" w:ascii="Times New Roman" w:hAnsi="Times New Roman" w:eastAsia="仿宋_GB2312" w:cs="Times New Roman"/>
          <w:sz w:val="32"/>
          <w:szCs w:val="32"/>
        </w:rPr>
        <w:t>项左右</w:t>
      </w:r>
      <w:bookmarkEnd w:id="2"/>
      <w:r>
        <w:rPr>
          <w:rFonts w:hint="eastAsia" w:ascii="Times New Roman" w:hAnsi="Times New Roman" w:eastAsia="仿宋_GB2312" w:cs="Times New Roman"/>
          <w:sz w:val="32"/>
          <w:szCs w:val="32"/>
        </w:rPr>
        <w:t>。各学科的奖励名额，结合国家战略和学科发展需要，依据该学科申报数占所有学科申报总数的比例进行分配，重点突出习近平新时代中国特色社会主义思想研究，决策咨询与社会服务研究，具有重要文化价值和传承意义的“绝学”、冷门学科、新兴和交叉学科研究，体现继承性民族性、原创性时代性、系统性专业性研究，有力提升哲学社会科学国际影响力研究等方面的最新成果。</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评审机构</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第六条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奖励委员会由知名专家学者和有关部门同志组成。其主要职责是审议裁定异议问题处理结果、审定奖励成果名单和奖励等级。</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第七条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评审专家组由国内相关研究领域政治方向坚定、学术造诣高、实践经验丰富、学风优良的同行专家组成，其中应有一定数量的非高校系统专家。其主要职责是对申报成果进行评审，推荐拟奖励成果。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第八条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奖励委员会办公室（简称评奖办）设在教育部社会科学司，负责组织申报、评审、异议处理等具体工作。</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黑体" w:eastAsia="黑体" w:cs="Times New Roman"/>
          <w:sz w:val="32"/>
          <w:szCs w:val="32"/>
        </w:rPr>
      </w:pPr>
      <w:r>
        <w:rPr>
          <w:rFonts w:ascii="Times New Roman" w:hAnsi="黑体" w:eastAsia="黑体" w:cs="Times New Roman"/>
          <w:sz w:val="32"/>
          <w:szCs w:val="32"/>
        </w:rPr>
        <w:t>第四章</w:t>
      </w:r>
      <w:r>
        <w:rPr>
          <w:rFonts w:ascii="Times New Roman" w:hAnsi="Times New Roman" w:eastAsia="黑体" w:cs="Times New Roman"/>
          <w:sz w:val="32"/>
          <w:szCs w:val="32"/>
        </w:rPr>
        <w:t xml:space="preserve"> </w:t>
      </w:r>
      <w:r>
        <w:rPr>
          <w:rFonts w:ascii="Times New Roman" w:hAnsi="黑体" w:eastAsia="黑体" w:cs="Times New Roman"/>
          <w:sz w:val="32"/>
          <w:szCs w:val="32"/>
        </w:rPr>
        <w:t>申报条件与程序</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第九条</w:t>
      </w:r>
      <w:r>
        <w:rPr>
          <w:rFonts w:ascii="Times New Roman" w:hAnsi="Times New Roman" w:eastAsia="仿宋_GB2312" w:cs="Times New Roman"/>
          <w:sz w:val="32"/>
          <w:szCs w:val="32"/>
        </w:rPr>
        <w:t xml:space="preserve"> 教育部直属高校、部省合建高校以学校为单位，地方高校以所在省、自治区、直辖市教育厅（教委）</w:t>
      </w:r>
      <w:bookmarkStart w:id="3" w:name="_Hlk119314410"/>
      <w:r>
        <w:rPr>
          <w:rFonts w:hint="eastAsia" w:ascii="Times New Roman" w:hAnsi="Times New Roman" w:eastAsia="仿宋_GB2312" w:cs="Times New Roman"/>
          <w:sz w:val="32"/>
          <w:szCs w:val="32"/>
        </w:rPr>
        <w:t>及新疆生产建设兵团教育局</w:t>
      </w:r>
      <w:bookmarkEnd w:id="3"/>
      <w:r>
        <w:rPr>
          <w:rFonts w:ascii="Times New Roman" w:hAnsi="Times New Roman" w:eastAsia="仿宋_GB2312" w:cs="Times New Roman"/>
          <w:sz w:val="32"/>
          <w:szCs w:val="32"/>
        </w:rPr>
        <w:t>为单位，其他有关部门（单位）所属高校以教育司（局）为单位（简称申报单位）集中申报，不受理个人申报材料。</w:t>
      </w:r>
      <w:r>
        <w:rPr>
          <w:rFonts w:hint="eastAsia" w:ascii="Times New Roman" w:hAnsi="Times New Roman" w:eastAsia="仿宋_GB2312" w:cs="Times New Roman"/>
          <w:sz w:val="32"/>
          <w:szCs w:val="32"/>
        </w:rPr>
        <w:t>本届评奖接受香港、澳门高校申报，相关办法另行制定。</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本届评奖实行限额申报，申报名额总计</w:t>
      </w:r>
      <w:r>
        <w:rPr>
          <w:rFonts w:ascii="Times New Roman" w:hAnsi="Times New Roman" w:eastAsia="仿宋_GB2312" w:cs="Times New Roman"/>
          <w:sz w:val="32"/>
          <w:szCs w:val="32"/>
        </w:rPr>
        <w:t>8000</w:t>
      </w:r>
      <w:r>
        <w:rPr>
          <w:rFonts w:hint="eastAsia" w:ascii="Times New Roman" w:hAnsi="Times New Roman" w:eastAsia="仿宋_GB2312" w:cs="Times New Roman"/>
          <w:sz w:val="32"/>
          <w:szCs w:val="32"/>
        </w:rPr>
        <w:t>项左右。各申报单位的申报名额，</w:t>
      </w:r>
      <w:bookmarkStart w:id="4" w:name="_Hlk98317197"/>
      <w:r>
        <w:rPr>
          <w:rFonts w:hint="eastAsia" w:ascii="Times New Roman" w:hAnsi="Times New Roman" w:eastAsia="仿宋_GB2312" w:cs="Times New Roman"/>
          <w:sz w:val="32"/>
          <w:szCs w:val="32"/>
        </w:rPr>
        <w:t>综合申报时限内该单位的科研成果总数、人均成果数、上一届成果奖申报数和获奖数、教育部哲学社会科学各类研究项目完成情况确定，适当向西部地区倾斜。</w:t>
      </w:r>
    </w:p>
    <w:bookmarkEnd w:id="4"/>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各申报单位要坚持质量第一的导向，按照政治标准与学术标准相统一的原则，科学合理分配申报名额，规范申报程序，切实做好申报遴选工作。</w:t>
      </w:r>
    </w:p>
    <w:p>
      <w:pPr>
        <w:adjustRightInd w:val="0"/>
        <w:spacing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申报本届高等学校科学研究优秀成果奖</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人文社会科学</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应符合下列要求：</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申报学校资格：申报学校应是全国普通高等学校。</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申报者资格：</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）申报期间人事关系在高校的教师和研究人员（包括离退休人员）均可申报。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）在高校开展实质性研究工作的兼职人员，成果发表时署名单位标注兼职高校的，可从兼职高校申报。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）申报者原则上应是申报成果的作者或者合作成果的第一署名人。合作成果在征得其他作者同意、且</w:t>
      </w:r>
      <w:r>
        <w:rPr>
          <w:rFonts w:hint="eastAsia" w:ascii="Times New Roman" w:hAnsi="Times New Roman" w:eastAsia="仿宋_GB2312"/>
          <w:sz w:val="32"/>
          <w:szCs w:val="32"/>
        </w:rPr>
        <w:t>第一署名人未作为申报者申报其他成果</w:t>
      </w:r>
      <w:r>
        <w:rPr>
          <w:rFonts w:hint="eastAsia" w:ascii="Times New Roman" w:hAnsi="Times New Roman" w:eastAsia="仿宋_GB2312" w:cs="Times New Roman"/>
          <w:sz w:val="32"/>
          <w:szCs w:val="32"/>
        </w:rPr>
        <w:t>的情况下，可由第一署名人以外作出主要贡献的作者申报，但获奖后奖励证书中的排名仍以成果的实际署名顺序为准。合作成果未征得其他作者同意的不能申报。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）每位申报者限申报一项成果；合作成果限一人申报，或以课题组名义申报。第一署名人为同一人的多项成果，不得分别由不同申报者同时申报本届成果奖。</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）青年成果奖申报者成果出版、发表或被采纳时年龄应在</w:t>
      </w:r>
      <w:r>
        <w:rPr>
          <w:rFonts w:ascii="Times New Roman" w:hAnsi="Times New Roman" w:eastAsia="仿宋_GB2312" w:cs="Times New Roman"/>
          <w:sz w:val="32"/>
          <w:szCs w:val="32"/>
        </w:rPr>
        <w:t>40</w:t>
      </w:r>
      <w:r>
        <w:rPr>
          <w:rFonts w:hint="eastAsia" w:ascii="Times New Roman" w:hAnsi="Times New Roman" w:eastAsia="仿宋_GB2312" w:cs="Times New Roman"/>
          <w:sz w:val="32"/>
          <w:szCs w:val="32"/>
        </w:rPr>
        <w:t>周岁及以内。</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参评成果资格与要求：</w:t>
      </w:r>
    </w:p>
    <w:p>
      <w:pPr>
        <w:adjustRightInd w:val="0"/>
        <w:spacing w:line="600" w:lineRule="exact"/>
        <w:ind w:firstLine="555"/>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bookmarkStart w:id="5" w:name="_Hlk98316331"/>
      <w:r>
        <w:rPr>
          <w:rFonts w:hint="eastAsia" w:ascii="Times New Roman" w:hAnsi="Times New Roman" w:eastAsia="仿宋_GB2312" w:cs="Times New Roman"/>
          <w:sz w:val="32"/>
          <w:szCs w:val="32"/>
        </w:rPr>
        <w:t>本届参评成果的出版、发表起止时间定为</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日至</w:t>
      </w:r>
      <w:r>
        <w:rPr>
          <w:rFonts w:ascii="Times New Roman" w:hAnsi="Times New Roman" w:eastAsia="仿宋_GB2312" w:cs="Times New Roman"/>
          <w:color w:val="000000" w:themeColor="text1"/>
          <w:sz w:val="32"/>
          <w:szCs w:val="32"/>
          <w14:textFill>
            <w14:solidFill>
              <w14:schemeClr w14:val="tx1"/>
            </w14:solidFill>
          </w14:textFill>
        </w:rPr>
        <w:t>2021</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color w:val="000000" w:themeColor="text1"/>
          <w:sz w:val="32"/>
          <w:szCs w:val="32"/>
          <w14:textFill>
            <w14:solidFill>
              <w14:schemeClr w14:val="tx1"/>
            </w14:solidFill>
          </w14:textFill>
        </w:rPr>
        <w:t>12</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color w:val="000000" w:themeColor="text1"/>
          <w:sz w:val="32"/>
          <w:szCs w:val="32"/>
          <w14:textFill>
            <w14:solidFill>
              <w14:schemeClr w14:val="tx1"/>
            </w14:solidFill>
          </w14:textFill>
        </w:rPr>
        <w:t>31</w:t>
      </w:r>
      <w:r>
        <w:rPr>
          <w:rFonts w:hint="eastAsia" w:ascii="Times New Roman" w:hAnsi="Times New Roman" w:eastAsia="仿宋_GB2312" w:cs="Times New Roman"/>
          <w:color w:val="000000" w:themeColor="text1"/>
          <w:sz w:val="32"/>
          <w:szCs w:val="32"/>
          <w14:textFill>
            <w14:solidFill>
              <w14:schemeClr w14:val="tx1"/>
            </w14:solidFill>
          </w14:textFill>
        </w:rPr>
        <w:t>日</w:t>
      </w:r>
      <w:r>
        <w:rPr>
          <w:rFonts w:hint="eastAsia" w:ascii="Times New Roman" w:hAnsi="Times New Roman" w:eastAsia="仿宋_GB2312" w:cs="Times New Roman"/>
          <w:sz w:val="32"/>
          <w:szCs w:val="32"/>
        </w:rPr>
        <w:t>。</w:t>
      </w:r>
      <w:bookmarkEnd w:id="5"/>
      <w:r>
        <w:rPr>
          <w:rFonts w:hint="eastAsia" w:ascii="Times New Roman" w:hAnsi="Times New Roman" w:eastAsia="仿宋_GB2312" w:cs="Times New Roman"/>
          <w:color w:val="000000" w:themeColor="text1"/>
          <w:sz w:val="32"/>
          <w:szCs w:val="32"/>
          <w14:textFill>
            <w14:solidFill>
              <w14:schemeClr w14:val="tx1"/>
            </w14:solidFill>
          </w14:textFill>
        </w:rPr>
        <w:t>咨询服务报告类</w:t>
      </w:r>
      <w:r>
        <w:rPr>
          <w:rFonts w:hint="eastAsia" w:ascii="Times New Roman" w:hAnsi="Times New Roman" w:eastAsia="仿宋_GB2312" w:cs="Times New Roman"/>
          <w:sz w:val="32"/>
          <w:szCs w:val="32"/>
        </w:rPr>
        <w:t>成果以被有关部门采纳的时间为准。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）多卷本研究著作以最后一卷出版的时间为准，在符合上述申报时限的情况下做整体申报。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）丛书不能作为一项研究成果整体申报，只能以其中独立完整的著作单独申报。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）个人学术文集（含论文集），在本届评奖申报时限内公开出版且首次发表内容不低于</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的，可作为著作类成果申报；多人撰写的论文集只能由论文作者以单篇申报。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）围绕一个专题、以个人或课题组名义发表于同一刊物同一标题的系列论文，可作为论文类成果整体申报。但围绕一个专题、发表时标题各不相同的系列论文，不能做整体申报，只能选择其中的单篇论文申报。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）咨询服务报告类成果，原则上应提交实际应用部门（党政机关、事业单位、大中型以上企业等）采纳或应用证明以及关于成果效果和社会影响方面的佐证材料。</w:t>
      </w:r>
      <w:r>
        <w:rPr>
          <w:rFonts w:ascii="Times New Roman" w:hAnsi="Times New Roman" w:eastAsia="仿宋_GB2312" w:cs="Times New Roman"/>
          <w:sz w:val="32"/>
          <w:szCs w:val="32"/>
        </w:rPr>
        <w:t xml:space="preserve"> </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）普及读物奖申报成果形式为著作，应提交关于成果效果和社会影响方面的佐证材料，包括图书发行量、书评、相关新闻报道、受众反响等。</w:t>
      </w:r>
    </w:p>
    <w:p>
      <w:pPr>
        <w:adjustRightInd w:val="0"/>
        <w:spacing w:before="156" w:beforeLines="50" w:after="156" w:afterLines="50" w:line="600"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）以少数民族语言公开出版的著作，申报时应有主要章节的国家通用语言文字翻译；以少数民族语言公开发表的论文，申报时应附有主要内容的国家通用语言文字摘要。</w:t>
      </w:r>
    </w:p>
    <w:p>
      <w:pPr>
        <w:adjustRightInd w:val="0"/>
        <w:spacing w:before="156" w:beforeLines="50" w:after="156" w:afterLines="50" w:line="600"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以外文公开出版的著作，申报时应有主要章节的中文翻译；以外文公开发表的论文，申报时应附有主要内容的中文摘要。</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下列成果的申请不予受理：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bookmarkStart w:id="6" w:name="_Hlk98319294"/>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）存在政治方向、价值取向、研究导向问题的成果；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）成果作者违反法律法规、党纪政纪、师德师风受到惩处的；</w:t>
      </w:r>
    </w:p>
    <w:bookmarkEnd w:id="6"/>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）违反学术规范或者著作权存在争议的成果；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（4）涉及国家秘密的成果特别是涉密咨询服务报告类成果；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）教材和教辅；</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）文学艺术创作类作品。</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第十一条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申报者需按照申报通知要求填写第九届高等学校科学研究优秀成果奖（人文社会科学）申报评审表，并对填写内容的真实性负责。申报评审表中作者顺序应与成果实际署名顺序一致。</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申报单位要切实把好政治方向关和学术质量关，对申报材料进行汇总、审核，并在本单位进行网上公示后（公示期不少于</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个工作日），在规定时间内集中提交。</w:t>
      </w:r>
      <w:bookmarkStart w:id="7" w:name="_Hlk119312242"/>
      <w:r>
        <w:rPr>
          <w:rFonts w:hint="eastAsia" w:ascii="Times New Roman" w:hAnsi="Times New Roman" w:eastAsia="仿宋_GB2312" w:cs="Times New Roman"/>
          <w:sz w:val="32"/>
          <w:szCs w:val="32"/>
        </w:rPr>
        <w:t>各单位公示时，对咨询服务报告类成果中名称敏感、不宜对外公开的，须做脱敏处理。</w:t>
      </w:r>
      <w:bookmarkEnd w:id="7"/>
      <w:bookmarkStart w:id="8" w:name="_Hlk119314192"/>
      <w:r>
        <w:rPr>
          <w:rFonts w:hint="eastAsia" w:ascii="Times New Roman" w:hAnsi="Times New Roman" w:eastAsia="仿宋_GB2312" w:cs="Times New Roman"/>
          <w:sz w:val="32"/>
          <w:szCs w:val="32"/>
        </w:rPr>
        <w:t>未经公示或公示异议尚未完成核查处理的申报材料不予受理。</w:t>
      </w:r>
      <w:bookmarkEnd w:id="8"/>
    </w:p>
    <w:p>
      <w:pPr>
        <w:adjustRightInd w:val="0"/>
        <w:spacing w:before="156" w:beforeLines="50" w:after="156" w:afterLines="50" w:line="600" w:lineRule="exact"/>
        <w:ind w:firstLine="640" w:firstLineChars="200"/>
        <w:contextualSpacing/>
        <w:rPr>
          <w:rFonts w:ascii="Times New Roman" w:hAnsi="Times New Roman" w:eastAsia="黑体" w:cs="Times New Roman"/>
          <w:sz w:val="32"/>
          <w:szCs w:val="32"/>
        </w:rPr>
      </w:pPr>
      <w:r>
        <w:rPr>
          <w:rFonts w:ascii="Times New Roman" w:hAnsi="楷体" w:eastAsia="楷体" w:cs="Times New Roman"/>
          <w:sz w:val="32"/>
          <w:szCs w:val="32"/>
        </w:rPr>
        <w:t>第十三条</w:t>
      </w:r>
      <w:r>
        <w:rPr>
          <w:rFonts w:hint="eastAsia" w:ascii="Times New Roman" w:hAnsi="楷体" w:eastAsia="楷体" w:cs="Times New Roman"/>
          <w:sz w:val="32"/>
          <w:szCs w:val="32"/>
        </w:rPr>
        <w:t xml:space="preserve"> </w:t>
      </w:r>
      <w:r>
        <w:rPr>
          <w:rFonts w:hint="eastAsia" w:ascii="Times New Roman" w:hAnsi="Times New Roman" w:eastAsia="仿宋_GB2312" w:cs="Times New Roman"/>
          <w:sz w:val="32"/>
          <w:szCs w:val="32"/>
        </w:rPr>
        <w:t>评奖办对申报材料进行形式审核，审核的主要内容为申报者、申报成果、申报评审书及相关证明材料等是否符合要求。所有通过审核的成果将在“中华人民共和国教育部政府门户网站”“</w:t>
      </w:r>
      <w:r>
        <w:rPr>
          <w:rFonts w:hint="eastAsia" w:ascii="Times New Roman" w:hAnsi="Times New Roman" w:eastAsia="仿宋_GB2312" w:cs="Times New Roman"/>
          <w:color w:val="000000" w:themeColor="text1"/>
          <w:sz w:val="32"/>
          <w:szCs w:val="32"/>
          <w14:textFill>
            <w14:solidFill>
              <w14:schemeClr w14:val="tx1"/>
            </w14:solidFill>
          </w14:textFill>
        </w:rPr>
        <w:t>中国高校人文社会科学信息网</w:t>
      </w:r>
      <w:r>
        <w:rPr>
          <w:rFonts w:hint="eastAsia" w:ascii="Times New Roman" w:hAnsi="Times New Roman" w:eastAsia="仿宋_GB2312" w:cs="Times New Roman"/>
          <w:sz w:val="32"/>
          <w:szCs w:val="32"/>
        </w:rPr>
        <w:t>”等平台进行公示（公示期不少于</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个工作日）。公示期间，</w:t>
      </w:r>
      <w:r>
        <w:rPr>
          <w:rFonts w:hint="eastAsia" w:ascii="Times New Roman" w:hAnsi="Times New Roman" w:eastAsia="仿宋_GB2312" w:cs="Times New Roman"/>
          <w:color w:val="000000" w:themeColor="text1"/>
          <w:sz w:val="32"/>
          <w:szCs w:val="32"/>
          <w14:textFill>
            <w14:solidFill>
              <w14:schemeClr w14:val="tx1"/>
            </w14:solidFill>
          </w14:textFill>
        </w:rPr>
        <w:t>任何单位或个人均可对有违反学术规范等行为的申报成果提出实名举报，</w:t>
      </w:r>
      <w:r>
        <w:rPr>
          <w:rFonts w:hint="eastAsia" w:ascii="Times New Roman" w:hAnsi="Times New Roman" w:eastAsia="仿宋_GB2312" w:cs="Times New Roman"/>
          <w:sz w:val="32"/>
          <w:szCs w:val="32"/>
        </w:rPr>
        <w:t>并附相关证据材料。经评奖办核查，举报属实的，撤销其申报资格。</w:t>
      </w:r>
    </w:p>
    <w:p>
      <w:pPr>
        <w:adjustRightInd w:val="0"/>
        <w:spacing w:before="156" w:beforeLines="50" w:after="156" w:afterLines="50" w:line="600" w:lineRule="exact"/>
        <w:contextualSpacing/>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第五章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评审标准</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第十四条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本届评奖遵循以下标准：</w:t>
      </w:r>
    </w:p>
    <w:p>
      <w:pPr>
        <w:tabs>
          <w:tab w:val="left" w:pos="6096"/>
        </w:tabs>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政治标准：</w:t>
      </w:r>
      <w:r>
        <w:rPr>
          <w:rFonts w:ascii="Times New Roman" w:hAnsi="Times New Roman" w:eastAsia="仿宋_GB2312" w:cs="Times New Roman"/>
          <w:sz w:val="32"/>
          <w:szCs w:val="32"/>
        </w:rPr>
        <w:t>坚持以</w:t>
      </w:r>
      <w:r>
        <w:rPr>
          <w:rFonts w:hint="eastAsia" w:ascii="Times New Roman" w:hAnsi="Times New Roman" w:eastAsia="仿宋_GB2312" w:cs="Times New Roman"/>
          <w:sz w:val="32"/>
          <w:szCs w:val="32"/>
        </w:rPr>
        <w:t>马克思主义为指导，全面贯彻</w:t>
      </w:r>
      <w:r>
        <w:rPr>
          <w:rFonts w:ascii="Times New Roman" w:hAnsi="Times New Roman" w:eastAsia="仿宋_GB2312" w:cs="Times New Roman"/>
          <w:sz w:val="32"/>
          <w:szCs w:val="32"/>
        </w:rPr>
        <w:t>习近平新时代中国特色社会主义思想，</w:t>
      </w:r>
      <w:r>
        <w:rPr>
          <w:rFonts w:hint="eastAsia" w:ascii="Times New Roman" w:hAnsi="Times New Roman" w:eastAsia="仿宋_GB2312" w:cs="Times New Roman"/>
          <w:sz w:val="32"/>
          <w:szCs w:val="32"/>
        </w:rPr>
        <w:t>深刻领悟</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两个确立</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的决定性意义，增强</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四个意识</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、坚定</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四个自信</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、做到</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两个维护</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坚</w:t>
      </w:r>
      <w:r>
        <w:rPr>
          <w:rFonts w:hint="eastAsia" w:ascii="Times New Roman" w:hAnsi="Times New Roman" w:eastAsia="仿宋_GB2312" w:cs="Times New Roman"/>
          <w:sz w:val="32"/>
          <w:szCs w:val="32"/>
        </w:rPr>
        <w:t>持正确的政治方向、价值取向和研究导向。</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学术标准：</w:t>
      </w:r>
      <w:r>
        <w:rPr>
          <w:rFonts w:hint="eastAsia" w:ascii="Times New Roman" w:hAnsi="Times New Roman" w:eastAsia="仿宋_GB2312" w:cs="Times New Roman"/>
          <w:sz w:val="32"/>
          <w:szCs w:val="32"/>
        </w:rPr>
        <w:t>成果须具有原创性、开拓性，扎根中国大地，体现中国特色，在理论上有所建树，在学术上有所创新，理论与实际紧密结合，填补了本研究领域的某些空白，推动了学科建设和理论发展，对中国自主知识体系建构作出原创性贡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学风标准：符合学术道德和学术规范，观点鲜明、论据充分，资料翔实、数据准确，逻辑严密、方法科学，没有知识产权等方面的争议。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实际贡献：</w:t>
      </w:r>
      <w:r>
        <w:rPr>
          <w:rFonts w:hint="eastAsia" w:ascii="Times New Roman" w:hAnsi="Times New Roman" w:eastAsia="仿宋_GB2312" w:cs="Times New Roman"/>
          <w:sz w:val="32"/>
          <w:szCs w:val="32"/>
        </w:rPr>
        <w:t>成果的学术价值得到学术界和社会的重视和好评；或在解决党和国家事业发展中的重大现实问题上有所贡献。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第十五条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各奖项具体标准如下：</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构建中国特色哲学社会科学学科体系、学术体系、话语体系作出了重大贡献。学术界同行公认该成果代表国家最高水平，其影响力超越单一学科的领域范围，得到社会各界的广泛赞誉。</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等奖：选题具有较大意义，围绕选题深入研究并较好完成了研究任务；成果有明显创新，具有较高理论或实践价值，对学术发展或解决实践问题具有重要推动作用；在国内外产生一定影响，得到社会各界的好评。</w:t>
      </w:r>
    </w:p>
    <w:p>
      <w:pPr>
        <w:adjustRightInd w:val="0"/>
        <w:spacing w:before="156" w:beforeLines="50" w:after="156" w:afterLines="50" w:line="600" w:lineRule="exact"/>
        <w:ind w:firstLine="640" w:firstLineChars="200"/>
        <w:contextualSpacing/>
        <w:rPr>
          <w:rFonts w:ascii="Times New Roman" w:hAnsi="Times New Roman" w:eastAsia="仿宋_GB2312" w:cs="Times New Roman"/>
          <w:color w:val="FF0000"/>
          <w:sz w:val="32"/>
          <w:szCs w:val="32"/>
        </w:rPr>
      </w:pPr>
      <w:r>
        <w:rPr>
          <w:rFonts w:ascii="Times New Roman" w:hAnsi="楷体" w:eastAsia="楷体" w:cs="Times New Roman"/>
          <w:sz w:val="32"/>
          <w:szCs w:val="32"/>
        </w:rPr>
        <w:t>第十六条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普及读物奖成果应具有较强的科学性、知识性和可读性，在宣传党的创新理论、阐释解答人民群众关心的热点难点问题以及人文社会科学知识传播普及方面产生良好社会效果。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楷体" w:eastAsia="楷体" w:cs="Times New Roman"/>
          <w:sz w:val="32"/>
          <w:szCs w:val="32"/>
        </w:rPr>
        <w:t>第十七条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青年成果奖成果应具有重要学术意义，在所研究的领域内有明显创新和突破，具有较为重要的理论和实践价值，对学术发展或解决实践问题具有一定推动作用，在国内外产生一定影响</w:t>
      </w:r>
      <w:r>
        <w:rPr>
          <w:rFonts w:hint="eastAsia" w:ascii="Times New Roman" w:hAnsi="Times New Roman" w:eastAsia="仿宋_GB2312" w:cs="Times New Roman"/>
          <w:color w:val="000000" w:themeColor="text1"/>
          <w:sz w:val="32"/>
          <w:szCs w:val="32"/>
          <w14:textFill>
            <w14:solidFill>
              <w14:schemeClr w14:val="tx1"/>
            </w14:solidFill>
          </w14:textFill>
        </w:rPr>
        <w:t>。</w:t>
      </w:r>
    </w:p>
    <w:p>
      <w:pPr>
        <w:adjustRightInd w:val="0"/>
        <w:spacing w:before="156" w:beforeLines="50" w:after="156" w:afterLines="50" w:line="600" w:lineRule="exact"/>
        <w:ind w:firstLine="640" w:firstLineChars="200"/>
        <w:contextualSpacing/>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黑体" w:eastAsia="黑体" w:cs="Times New Roman"/>
          <w:sz w:val="32"/>
          <w:szCs w:val="32"/>
        </w:rPr>
      </w:pPr>
      <w:r>
        <w:rPr>
          <w:rFonts w:ascii="Times New Roman" w:hAnsi="黑体" w:eastAsia="黑体" w:cs="Times New Roman"/>
          <w:sz w:val="32"/>
          <w:szCs w:val="32"/>
        </w:rPr>
        <w:t>第六章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评审程序</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第十八条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评审工作坚持质量第一、</w:t>
      </w:r>
      <w:r>
        <w:rPr>
          <w:rFonts w:hint="eastAsia" w:ascii="Times New Roman" w:hAnsi="Times New Roman" w:eastAsia="仿宋_GB2312" w:cs="Times New Roman"/>
          <w:sz w:val="32"/>
          <w:szCs w:val="32"/>
          <w:lang w:val="en-US" w:eastAsia="zh-CN"/>
        </w:rPr>
        <w:t>宁缺毋滥</w:t>
      </w:r>
      <w:r>
        <w:rPr>
          <w:rFonts w:hint="eastAsia" w:ascii="Times New Roman" w:hAnsi="Times New Roman" w:eastAsia="仿宋_GB2312" w:cs="Times New Roman"/>
          <w:sz w:val="32"/>
          <w:szCs w:val="32"/>
        </w:rPr>
        <w:t>和公平、公正的原则，采取通讯评审与会议评审相结合的形式，委托第三方机构组织。</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w:t>
      </w:r>
      <w:r>
        <w:rPr>
          <w:rFonts w:hint="eastAsia" w:ascii="Times New Roman" w:hAnsi="楷体" w:eastAsia="楷体" w:cs="Times New Roman"/>
          <w:sz w:val="32"/>
          <w:szCs w:val="32"/>
        </w:rPr>
        <w:t>十九</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评审遵循回避原则，按照学科设立若干评审组，评审专家独立审阅申报材料，按各学科奖项分配数推荐奖励成果并打分。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评奖办对评审专家组提出的推荐奖励成果和奖励等级进行复核。按学科类别从高分到低分对申报成果进行排序，根据各学科奖项分配数，形成奖励成果建议名单。</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一</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奖励委员会召开全体会议听取评奖办关于评奖工作情况的汇报，对奖励成果建议名单进行审议，决定奖励成果名单和奖励等级。</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二</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奖励委员会审定的奖励成果名单，经公示和异议处理后，报教育部批准并正式公布。</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第七章</w:t>
      </w:r>
      <w:r>
        <w:rPr>
          <w:rFonts w:ascii="Times New Roman" w:hAnsi="Times New Roman" w:eastAsia="黑体" w:cs="Times New Roman"/>
          <w:sz w:val="32"/>
          <w:szCs w:val="32"/>
        </w:rPr>
        <w:t xml:space="preserve"> </w:t>
      </w:r>
      <w:r>
        <w:rPr>
          <w:rFonts w:ascii="Times New Roman" w:hAnsi="黑体" w:eastAsia="黑体" w:cs="Times New Roman"/>
          <w:sz w:val="32"/>
          <w:szCs w:val="32"/>
        </w:rPr>
        <w:t>异议处理</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三</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经奖励委员会审议通过的奖励成果名单，在</w:t>
      </w:r>
      <w:r>
        <w:rPr>
          <w:rFonts w:hint="eastAsia" w:ascii="仿宋_GB2312" w:hAnsi="仿宋_GB2312" w:eastAsia="仿宋_GB2312" w:cs="Times New Roman"/>
          <w:sz w:val="32"/>
          <w:szCs w:val="32"/>
        </w:rPr>
        <w:t>“中华人民共和国教育部政府门户网站”“中国高校人文社会科学信息网”</w:t>
      </w:r>
      <w:r>
        <w:rPr>
          <w:rFonts w:hint="eastAsia" w:ascii="Times New Roman" w:hAnsi="Times New Roman" w:eastAsia="仿宋_GB2312" w:cs="Times New Roman"/>
          <w:sz w:val="32"/>
          <w:szCs w:val="32"/>
        </w:rPr>
        <w:t>等平台进行公示，公示期</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日。公示期间，任何单位或个人认为公示成果存在学术不端问题或申报中存在弄虚作假问题，均可以书面形式实名向评奖办提出异议。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四</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提出异议需符合以下条件：</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．以实名方式提出。单位提出的异议，须在异议材料上加盖本单位公章，并写明联系人姓名和联系方式。个人提出的异议，须提供本人真实姓名和联系方式。</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．提供翔实可资调查取证的材料。</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以下异议不予受理：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（1）非实名提出的异议；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（2）对申报成果未获奖的异议；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（3）对奖励成果等级的异议；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（4）未提交相关证明材料的异议；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（5）不属于学术不端、弄虚作假行为的异议。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五</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评奖办对异议材料进行调查核实，并将调查情况和处理建议以书面形式提交奖励委员会审议裁决。对异议不成立的，告知异议提出单位或个人。评奖办对提出异议的单位和个人给予保密。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六</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成果存在学术不端问题或申报材料存在弄虚作假、以不正当手段骗取奖励等违规问题的，经奖励委员会核实，取消成果参评资格，对已获奖的撤销其奖励并追回获奖证书和奖金，申报者三年内不得申报各类教育部项目和奖项。</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第八章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评奖纪律</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七</w:t>
      </w:r>
      <w:r>
        <w:rPr>
          <w:rFonts w:ascii="Times New Roman" w:hAnsi="楷体" w:eastAsia="楷体" w:cs="Times New Roman"/>
          <w:sz w:val="32"/>
          <w:szCs w:val="32"/>
        </w:rPr>
        <w:t>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sz w:val="32"/>
          <w:szCs w:val="32"/>
        </w:rPr>
        <w:t>奖励委员会委员、评审专家、评奖办工作人员、申报单位、申报者都要遵守政治纪律、政治规矩和学术道德、学术规范，各省、自治区、直辖市教育厅（教委），新疆生产建设兵团教育局，有关部门（单位）教育司（局），各高校党委要切实履行好意识形态工作责任制。</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八</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评奖实行严格的回避制度：</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奖励委员会委员申报评奖的，应主动申请退出奖励委员会。</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本人申报评奖的，不得被聘为评审专家。</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评审专家如发现与本人有利害关系的人员成果进入评审，本人应主动申请回避；如发现他人存在类似情形，也应提出回避要求。</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w:t>
      </w:r>
      <w:r>
        <w:rPr>
          <w:rFonts w:hint="eastAsia" w:ascii="Times New Roman" w:hAnsi="楷体" w:eastAsia="楷体" w:cs="Times New Roman"/>
          <w:sz w:val="32"/>
          <w:szCs w:val="32"/>
        </w:rPr>
        <w:t>二十九</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评奖实行严格的保密制度：</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奖励委员会委员、评审专家对评奖过程负有保密义务，签订保密承诺书，不得透露有关评审的任何信息。如发现泄密情形，给予通报批评并记入专家信誉档案。</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评奖办成员对评奖过程负有保密义务，不得透露评审专家和评审情况信息。如发现泄密情形，给予通报批评并调离评奖办。</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第三十条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第九章</w:t>
      </w:r>
      <w:r>
        <w:rPr>
          <w:rFonts w:ascii="Times New Roman" w:hAnsi="Times New Roman" w:eastAsia="黑体" w:cs="Times New Roman"/>
          <w:sz w:val="32"/>
          <w:szCs w:val="32"/>
        </w:rPr>
        <w:t xml:space="preserve"> </w:t>
      </w:r>
      <w:r>
        <w:rPr>
          <w:rFonts w:ascii="Times New Roman" w:hAnsi="黑体" w:eastAsia="黑体" w:cs="Times New Roman"/>
          <w:sz w:val="32"/>
          <w:szCs w:val="32"/>
        </w:rPr>
        <w:t>其他</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第三十</w:t>
      </w:r>
      <w:r>
        <w:rPr>
          <w:rFonts w:hint="eastAsia" w:ascii="Times New Roman" w:hAnsi="楷体" w:eastAsia="楷体" w:cs="Times New Roman"/>
          <w:sz w:val="32"/>
          <w:szCs w:val="32"/>
        </w:rPr>
        <w:t>一</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本实施办法自公布之日起施行，由评奖办负责解释。</w:t>
      </w:r>
      <w:bookmarkStart w:id="9" w:name="办法全文"/>
      <w:bookmarkEnd w:id="9"/>
      <w:bookmarkStart w:id="10" w:name="sub15165940_2"/>
      <w:bookmarkEnd w:id="10"/>
      <w:bookmarkStart w:id="11" w:name="2"/>
      <w:bookmarkEnd w:id="1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7719689"/>
    </w:sdtPr>
    <w:sdtContent>
      <w:p>
        <w:pPr>
          <w:pStyle w:val="6"/>
          <w:jc w:val="center"/>
        </w:pPr>
        <w:r>
          <w:fldChar w:fldCharType="begin"/>
        </w:r>
        <w:r>
          <w:instrText xml:space="preserve">PAGE   \* MERGEFORMAT</w:instrText>
        </w:r>
        <w:r>
          <w:fldChar w:fldCharType="separate"/>
        </w:r>
        <w:r>
          <w:rPr>
            <w:lang w:val="zh-CN"/>
          </w:rPr>
          <w:t>13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WY5YzFlZWNlOWFhNGRmNjRkMmQ5NGJjMzVjYmMifQ=="/>
  </w:docVars>
  <w:rsids>
    <w:rsidRoot w:val="00F62C13"/>
    <w:rsid w:val="00006047"/>
    <w:rsid w:val="00013ED4"/>
    <w:rsid w:val="00022DAF"/>
    <w:rsid w:val="00023DEB"/>
    <w:rsid w:val="000265B6"/>
    <w:rsid w:val="00031ADA"/>
    <w:rsid w:val="000362B6"/>
    <w:rsid w:val="000363DB"/>
    <w:rsid w:val="00040725"/>
    <w:rsid w:val="00047424"/>
    <w:rsid w:val="00051AEB"/>
    <w:rsid w:val="00055EC9"/>
    <w:rsid w:val="00064B05"/>
    <w:rsid w:val="000655E6"/>
    <w:rsid w:val="00072030"/>
    <w:rsid w:val="000725F2"/>
    <w:rsid w:val="00072B0E"/>
    <w:rsid w:val="00072E6E"/>
    <w:rsid w:val="000819B1"/>
    <w:rsid w:val="00087243"/>
    <w:rsid w:val="00093CAA"/>
    <w:rsid w:val="00093DC5"/>
    <w:rsid w:val="0009692E"/>
    <w:rsid w:val="00096C62"/>
    <w:rsid w:val="0009717D"/>
    <w:rsid w:val="000B0146"/>
    <w:rsid w:val="000B0A10"/>
    <w:rsid w:val="000B3808"/>
    <w:rsid w:val="000C0966"/>
    <w:rsid w:val="000C3582"/>
    <w:rsid w:val="000D010A"/>
    <w:rsid w:val="000D3B17"/>
    <w:rsid w:val="000D6E5F"/>
    <w:rsid w:val="000E545B"/>
    <w:rsid w:val="000F01AD"/>
    <w:rsid w:val="000F1507"/>
    <w:rsid w:val="000F7334"/>
    <w:rsid w:val="000F7F6D"/>
    <w:rsid w:val="001070CD"/>
    <w:rsid w:val="00114618"/>
    <w:rsid w:val="00116CB4"/>
    <w:rsid w:val="00116E61"/>
    <w:rsid w:val="00124F88"/>
    <w:rsid w:val="001302F2"/>
    <w:rsid w:val="00133674"/>
    <w:rsid w:val="00134C28"/>
    <w:rsid w:val="00136115"/>
    <w:rsid w:val="001422C5"/>
    <w:rsid w:val="00143BD1"/>
    <w:rsid w:val="001508FD"/>
    <w:rsid w:val="0015304B"/>
    <w:rsid w:val="00160968"/>
    <w:rsid w:val="0016530B"/>
    <w:rsid w:val="001723F9"/>
    <w:rsid w:val="00172C1A"/>
    <w:rsid w:val="00184946"/>
    <w:rsid w:val="00184AE9"/>
    <w:rsid w:val="001853AA"/>
    <w:rsid w:val="00195309"/>
    <w:rsid w:val="001A5640"/>
    <w:rsid w:val="001B3BB0"/>
    <w:rsid w:val="001B3BB5"/>
    <w:rsid w:val="001B6C53"/>
    <w:rsid w:val="001C0018"/>
    <w:rsid w:val="001C02A6"/>
    <w:rsid w:val="001C2031"/>
    <w:rsid w:val="001C5760"/>
    <w:rsid w:val="001D0083"/>
    <w:rsid w:val="001D5EEB"/>
    <w:rsid w:val="001E00F1"/>
    <w:rsid w:val="001E3AC4"/>
    <w:rsid w:val="001F7384"/>
    <w:rsid w:val="00210F97"/>
    <w:rsid w:val="00213CBF"/>
    <w:rsid w:val="002159A5"/>
    <w:rsid w:val="00217737"/>
    <w:rsid w:val="002210B8"/>
    <w:rsid w:val="00222C3D"/>
    <w:rsid w:val="00224EAD"/>
    <w:rsid w:val="002266BB"/>
    <w:rsid w:val="00232407"/>
    <w:rsid w:val="00240062"/>
    <w:rsid w:val="00243D18"/>
    <w:rsid w:val="00243EB3"/>
    <w:rsid w:val="002512A4"/>
    <w:rsid w:val="002606AD"/>
    <w:rsid w:val="0026250A"/>
    <w:rsid w:val="002672EF"/>
    <w:rsid w:val="0027183E"/>
    <w:rsid w:val="00274C56"/>
    <w:rsid w:val="00282BB4"/>
    <w:rsid w:val="002864CA"/>
    <w:rsid w:val="00290EA3"/>
    <w:rsid w:val="002A25B7"/>
    <w:rsid w:val="002A5876"/>
    <w:rsid w:val="002A7FC3"/>
    <w:rsid w:val="002B7A34"/>
    <w:rsid w:val="002C01C6"/>
    <w:rsid w:val="002C12EA"/>
    <w:rsid w:val="002C1C47"/>
    <w:rsid w:val="002C1E00"/>
    <w:rsid w:val="002C5173"/>
    <w:rsid w:val="002C5AA5"/>
    <w:rsid w:val="002C782C"/>
    <w:rsid w:val="002D2B24"/>
    <w:rsid w:val="002D7CD5"/>
    <w:rsid w:val="002E032E"/>
    <w:rsid w:val="002E447F"/>
    <w:rsid w:val="002E4895"/>
    <w:rsid w:val="002F10AB"/>
    <w:rsid w:val="002F4F5F"/>
    <w:rsid w:val="002F500A"/>
    <w:rsid w:val="002F5EFB"/>
    <w:rsid w:val="00304399"/>
    <w:rsid w:val="00316970"/>
    <w:rsid w:val="00323C71"/>
    <w:rsid w:val="00327081"/>
    <w:rsid w:val="00344328"/>
    <w:rsid w:val="003455D9"/>
    <w:rsid w:val="00352B35"/>
    <w:rsid w:val="00353C6E"/>
    <w:rsid w:val="00356A72"/>
    <w:rsid w:val="00360DE3"/>
    <w:rsid w:val="00363718"/>
    <w:rsid w:val="00365D57"/>
    <w:rsid w:val="00370C68"/>
    <w:rsid w:val="00382FE1"/>
    <w:rsid w:val="00386DEC"/>
    <w:rsid w:val="003970B9"/>
    <w:rsid w:val="003A20A5"/>
    <w:rsid w:val="003A3594"/>
    <w:rsid w:val="003A40BD"/>
    <w:rsid w:val="003A4BBC"/>
    <w:rsid w:val="003A62E8"/>
    <w:rsid w:val="003B63E9"/>
    <w:rsid w:val="003C1BD7"/>
    <w:rsid w:val="003C1F79"/>
    <w:rsid w:val="003C3EAF"/>
    <w:rsid w:val="003E0B86"/>
    <w:rsid w:val="003E5AC2"/>
    <w:rsid w:val="003E787B"/>
    <w:rsid w:val="003F0CC8"/>
    <w:rsid w:val="003F3572"/>
    <w:rsid w:val="003F5C82"/>
    <w:rsid w:val="004010E4"/>
    <w:rsid w:val="00403519"/>
    <w:rsid w:val="0040464A"/>
    <w:rsid w:val="0041079C"/>
    <w:rsid w:val="00411D55"/>
    <w:rsid w:val="00414E5A"/>
    <w:rsid w:val="00417823"/>
    <w:rsid w:val="004222CB"/>
    <w:rsid w:val="00422928"/>
    <w:rsid w:val="004229F3"/>
    <w:rsid w:val="00422B34"/>
    <w:rsid w:val="00430CBA"/>
    <w:rsid w:val="004366A6"/>
    <w:rsid w:val="004424B3"/>
    <w:rsid w:val="004431A5"/>
    <w:rsid w:val="004530BC"/>
    <w:rsid w:val="00462F10"/>
    <w:rsid w:val="0046452F"/>
    <w:rsid w:val="004719B0"/>
    <w:rsid w:val="004803C8"/>
    <w:rsid w:val="00486183"/>
    <w:rsid w:val="00487D00"/>
    <w:rsid w:val="00493EE9"/>
    <w:rsid w:val="00495180"/>
    <w:rsid w:val="004A159B"/>
    <w:rsid w:val="004A4987"/>
    <w:rsid w:val="004B2F1A"/>
    <w:rsid w:val="004B2F2D"/>
    <w:rsid w:val="004B79B7"/>
    <w:rsid w:val="004C305D"/>
    <w:rsid w:val="004D6C89"/>
    <w:rsid w:val="004E5519"/>
    <w:rsid w:val="004F0609"/>
    <w:rsid w:val="00500882"/>
    <w:rsid w:val="00501000"/>
    <w:rsid w:val="005016BB"/>
    <w:rsid w:val="005054B5"/>
    <w:rsid w:val="005134A4"/>
    <w:rsid w:val="00517350"/>
    <w:rsid w:val="00523581"/>
    <w:rsid w:val="005239C1"/>
    <w:rsid w:val="00525E3F"/>
    <w:rsid w:val="0052763C"/>
    <w:rsid w:val="00527BFC"/>
    <w:rsid w:val="005322D7"/>
    <w:rsid w:val="005336CA"/>
    <w:rsid w:val="00536C1D"/>
    <w:rsid w:val="00545093"/>
    <w:rsid w:val="00551356"/>
    <w:rsid w:val="00556967"/>
    <w:rsid w:val="0056695B"/>
    <w:rsid w:val="005703FF"/>
    <w:rsid w:val="00590E72"/>
    <w:rsid w:val="005953EE"/>
    <w:rsid w:val="00595A3D"/>
    <w:rsid w:val="00596E20"/>
    <w:rsid w:val="005A29B2"/>
    <w:rsid w:val="005A4238"/>
    <w:rsid w:val="005A6D92"/>
    <w:rsid w:val="005B249E"/>
    <w:rsid w:val="005B5631"/>
    <w:rsid w:val="005C0C58"/>
    <w:rsid w:val="005C535B"/>
    <w:rsid w:val="005C7635"/>
    <w:rsid w:val="005D2F50"/>
    <w:rsid w:val="005D3AA3"/>
    <w:rsid w:val="005E0581"/>
    <w:rsid w:val="005E673E"/>
    <w:rsid w:val="005F1DE8"/>
    <w:rsid w:val="005F5510"/>
    <w:rsid w:val="00603789"/>
    <w:rsid w:val="00611924"/>
    <w:rsid w:val="0061377E"/>
    <w:rsid w:val="0062257F"/>
    <w:rsid w:val="00623474"/>
    <w:rsid w:val="00645B08"/>
    <w:rsid w:val="00653A96"/>
    <w:rsid w:val="00663125"/>
    <w:rsid w:val="00667F35"/>
    <w:rsid w:val="00671FAC"/>
    <w:rsid w:val="00676F57"/>
    <w:rsid w:val="00677A09"/>
    <w:rsid w:val="0068091C"/>
    <w:rsid w:val="00696C8E"/>
    <w:rsid w:val="00697B74"/>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325A"/>
    <w:rsid w:val="00706C27"/>
    <w:rsid w:val="00707DA0"/>
    <w:rsid w:val="00713936"/>
    <w:rsid w:val="00716C2D"/>
    <w:rsid w:val="00726A6D"/>
    <w:rsid w:val="00727FAA"/>
    <w:rsid w:val="0073217E"/>
    <w:rsid w:val="00732F19"/>
    <w:rsid w:val="00733EC8"/>
    <w:rsid w:val="00742295"/>
    <w:rsid w:val="00751F8D"/>
    <w:rsid w:val="00763CE1"/>
    <w:rsid w:val="007652A8"/>
    <w:rsid w:val="00766BAE"/>
    <w:rsid w:val="00767239"/>
    <w:rsid w:val="00771268"/>
    <w:rsid w:val="00773881"/>
    <w:rsid w:val="00791A61"/>
    <w:rsid w:val="00791B50"/>
    <w:rsid w:val="007A1004"/>
    <w:rsid w:val="007A38FB"/>
    <w:rsid w:val="007A5E80"/>
    <w:rsid w:val="007B34F0"/>
    <w:rsid w:val="007B6CF0"/>
    <w:rsid w:val="007B7362"/>
    <w:rsid w:val="007B7E62"/>
    <w:rsid w:val="007C653C"/>
    <w:rsid w:val="007D544C"/>
    <w:rsid w:val="007D7438"/>
    <w:rsid w:val="007E180E"/>
    <w:rsid w:val="007E68B7"/>
    <w:rsid w:val="007E7513"/>
    <w:rsid w:val="007F73E2"/>
    <w:rsid w:val="007F7847"/>
    <w:rsid w:val="00806A2A"/>
    <w:rsid w:val="00807F37"/>
    <w:rsid w:val="008164F9"/>
    <w:rsid w:val="008170D9"/>
    <w:rsid w:val="00823019"/>
    <w:rsid w:val="00825EFF"/>
    <w:rsid w:val="00833884"/>
    <w:rsid w:val="008341DC"/>
    <w:rsid w:val="00835FA3"/>
    <w:rsid w:val="008362F5"/>
    <w:rsid w:val="00846522"/>
    <w:rsid w:val="008475EA"/>
    <w:rsid w:val="00847DDC"/>
    <w:rsid w:val="00853BC6"/>
    <w:rsid w:val="00857620"/>
    <w:rsid w:val="00857A99"/>
    <w:rsid w:val="00863159"/>
    <w:rsid w:val="00863B6A"/>
    <w:rsid w:val="00875C8E"/>
    <w:rsid w:val="00882D3C"/>
    <w:rsid w:val="00884E93"/>
    <w:rsid w:val="008857BD"/>
    <w:rsid w:val="00894ED7"/>
    <w:rsid w:val="008A25F5"/>
    <w:rsid w:val="008B0A50"/>
    <w:rsid w:val="008C0DEE"/>
    <w:rsid w:val="008C5FD4"/>
    <w:rsid w:val="008D487C"/>
    <w:rsid w:val="008E1B84"/>
    <w:rsid w:val="008F3C20"/>
    <w:rsid w:val="00905942"/>
    <w:rsid w:val="009161CD"/>
    <w:rsid w:val="00925E25"/>
    <w:rsid w:val="00931088"/>
    <w:rsid w:val="00940ACA"/>
    <w:rsid w:val="00947719"/>
    <w:rsid w:val="00947B9B"/>
    <w:rsid w:val="0095494D"/>
    <w:rsid w:val="00966CB9"/>
    <w:rsid w:val="009721E0"/>
    <w:rsid w:val="00975ABB"/>
    <w:rsid w:val="00976C70"/>
    <w:rsid w:val="0098498F"/>
    <w:rsid w:val="009970E8"/>
    <w:rsid w:val="009A4E9D"/>
    <w:rsid w:val="009B2D16"/>
    <w:rsid w:val="009C4C02"/>
    <w:rsid w:val="009C5E96"/>
    <w:rsid w:val="009C61E2"/>
    <w:rsid w:val="009C7EFD"/>
    <w:rsid w:val="009D3829"/>
    <w:rsid w:val="009D54A3"/>
    <w:rsid w:val="009D5FA6"/>
    <w:rsid w:val="009E241D"/>
    <w:rsid w:val="009E3939"/>
    <w:rsid w:val="009E3A0A"/>
    <w:rsid w:val="009F28C7"/>
    <w:rsid w:val="009F2E87"/>
    <w:rsid w:val="009F33D5"/>
    <w:rsid w:val="00A0025C"/>
    <w:rsid w:val="00A0465D"/>
    <w:rsid w:val="00A12E00"/>
    <w:rsid w:val="00A131D2"/>
    <w:rsid w:val="00A142D6"/>
    <w:rsid w:val="00A1605F"/>
    <w:rsid w:val="00A20928"/>
    <w:rsid w:val="00A21F0B"/>
    <w:rsid w:val="00A23625"/>
    <w:rsid w:val="00A269D1"/>
    <w:rsid w:val="00A31A10"/>
    <w:rsid w:val="00A31ECE"/>
    <w:rsid w:val="00A44F9B"/>
    <w:rsid w:val="00A476E9"/>
    <w:rsid w:val="00A47EC2"/>
    <w:rsid w:val="00A529DB"/>
    <w:rsid w:val="00A57B2F"/>
    <w:rsid w:val="00A70D13"/>
    <w:rsid w:val="00A71306"/>
    <w:rsid w:val="00A8173D"/>
    <w:rsid w:val="00A857EF"/>
    <w:rsid w:val="00A85987"/>
    <w:rsid w:val="00A90CFC"/>
    <w:rsid w:val="00A91513"/>
    <w:rsid w:val="00AA0655"/>
    <w:rsid w:val="00AA466F"/>
    <w:rsid w:val="00AA7202"/>
    <w:rsid w:val="00AB0052"/>
    <w:rsid w:val="00AB368A"/>
    <w:rsid w:val="00AB7FC0"/>
    <w:rsid w:val="00AC7D59"/>
    <w:rsid w:val="00AD25BC"/>
    <w:rsid w:val="00AD641F"/>
    <w:rsid w:val="00AE14B9"/>
    <w:rsid w:val="00AE3AB6"/>
    <w:rsid w:val="00B00C0C"/>
    <w:rsid w:val="00B03394"/>
    <w:rsid w:val="00B1726B"/>
    <w:rsid w:val="00B2751C"/>
    <w:rsid w:val="00B30E40"/>
    <w:rsid w:val="00B412F9"/>
    <w:rsid w:val="00B46680"/>
    <w:rsid w:val="00B509ED"/>
    <w:rsid w:val="00B674C3"/>
    <w:rsid w:val="00B67CF3"/>
    <w:rsid w:val="00B836B9"/>
    <w:rsid w:val="00B90245"/>
    <w:rsid w:val="00B94122"/>
    <w:rsid w:val="00B97025"/>
    <w:rsid w:val="00BB1E9A"/>
    <w:rsid w:val="00BB214A"/>
    <w:rsid w:val="00BB5573"/>
    <w:rsid w:val="00BB6831"/>
    <w:rsid w:val="00BC1B7C"/>
    <w:rsid w:val="00BC629B"/>
    <w:rsid w:val="00BC7B40"/>
    <w:rsid w:val="00BD2CA8"/>
    <w:rsid w:val="00BD3783"/>
    <w:rsid w:val="00BD6025"/>
    <w:rsid w:val="00BD6CAF"/>
    <w:rsid w:val="00BF070A"/>
    <w:rsid w:val="00BF0929"/>
    <w:rsid w:val="00BF3546"/>
    <w:rsid w:val="00C062D5"/>
    <w:rsid w:val="00C07C0B"/>
    <w:rsid w:val="00C11CB5"/>
    <w:rsid w:val="00C139EE"/>
    <w:rsid w:val="00C14897"/>
    <w:rsid w:val="00C16380"/>
    <w:rsid w:val="00C17FD0"/>
    <w:rsid w:val="00C22499"/>
    <w:rsid w:val="00C24F1D"/>
    <w:rsid w:val="00C26D64"/>
    <w:rsid w:val="00C462CF"/>
    <w:rsid w:val="00C51502"/>
    <w:rsid w:val="00C547CF"/>
    <w:rsid w:val="00C72D70"/>
    <w:rsid w:val="00C77ECB"/>
    <w:rsid w:val="00C80CA6"/>
    <w:rsid w:val="00C822B1"/>
    <w:rsid w:val="00C853CA"/>
    <w:rsid w:val="00C908E7"/>
    <w:rsid w:val="00C971EE"/>
    <w:rsid w:val="00CA4A55"/>
    <w:rsid w:val="00CB4CFB"/>
    <w:rsid w:val="00CC6A60"/>
    <w:rsid w:val="00CC6A8A"/>
    <w:rsid w:val="00CD4ABC"/>
    <w:rsid w:val="00CD5DA1"/>
    <w:rsid w:val="00D04772"/>
    <w:rsid w:val="00D06495"/>
    <w:rsid w:val="00D06AEC"/>
    <w:rsid w:val="00D13465"/>
    <w:rsid w:val="00D16AA0"/>
    <w:rsid w:val="00D202AD"/>
    <w:rsid w:val="00D267D5"/>
    <w:rsid w:val="00D27AF3"/>
    <w:rsid w:val="00D334D1"/>
    <w:rsid w:val="00D349B2"/>
    <w:rsid w:val="00D37DD9"/>
    <w:rsid w:val="00D40A58"/>
    <w:rsid w:val="00D45FBC"/>
    <w:rsid w:val="00D538BB"/>
    <w:rsid w:val="00D5477B"/>
    <w:rsid w:val="00D6158D"/>
    <w:rsid w:val="00D6223C"/>
    <w:rsid w:val="00D62EBF"/>
    <w:rsid w:val="00D76F9B"/>
    <w:rsid w:val="00D82201"/>
    <w:rsid w:val="00D841A9"/>
    <w:rsid w:val="00D84565"/>
    <w:rsid w:val="00D84E58"/>
    <w:rsid w:val="00D85597"/>
    <w:rsid w:val="00D86D47"/>
    <w:rsid w:val="00D9145C"/>
    <w:rsid w:val="00D918EC"/>
    <w:rsid w:val="00DB0988"/>
    <w:rsid w:val="00DB15A1"/>
    <w:rsid w:val="00DB1E92"/>
    <w:rsid w:val="00DB4EEC"/>
    <w:rsid w:val="00DB6931"/>
    <w:rsid w:val="00DC0C09"/>
    <w:rsid w:val="00DC212A"/>
    <w:rsid w:val="00DC5943"/>
    <w:rsid w:val="00DC757B"/>
    <w:rsid w:val="00DD3898"/>
    <w:rsid w:val="00DE1BE0"/>
    <w:rsid w:val="00DF3595"/>
    <w:rsid w:val="00DF570D"/>
    <w:rsid w:val="00DF6588"/>
    <w:rsid w:val="00DF6DF2"/>
    <w:rsid w:val="00E03AD1"/>
    <w:rsid w:val="00E05509"/>
    <w:rsid w:val="00E105E7"/>
    <w:rsid w:val="00E1083F"/>
    <w:rsid w:val="00E146E1"/>
    <w:rsid w:val="00E1547D"/>
    <w:rsid w:val="00E156BE"/>
    <w:rsid w:val="00E21AD9"/>
    <w:rsid w:val="00E22F24"/>
    <w:rsid w:val="00E23491"/>
    <w:rsid w:val="00E250AD"/>
    <w:rsid w:val="00E263E6"/>
    <w:rsid w:val="00E31167"/>
    <w:rsid w:val="00E317BE"/>
    <w:rsid w:val="00E408D9"/>
    <w:rsid w:val="00E4331C"/>
    <w:rsid w:val="00E4480C"/>
    <w:rsid w:val="00E45D87"/>
    <w:rsid w:val="00E5711E"/>
    <w:rsid w:val="00E57E92"/>
    <w:rsid w:val="00E63A9A"/>
    <w:rsid w:val="00E72DBD"/>
    <w:rsid w:val="00E81449"/>
    <w:rsid w:val="00E95061"/>
    <w:rsid w:val="00EA22BD"/>
    <w:rsid w:val="00EA50CA"/>
    <w:rsid w:val="00EA7338"/>
    <w:rsid w:val="00EB2451"/>
    <w:rsid w:val="00EB3B32"/>
    <w:rsid w:val="00EB4651"/>
    <w:rsid w:val="00EB708D"/>
    <w:rsid w:val="00EC1255"/>
    <w:rsid w:val="00ED72EC"/>
    <w:rsid w:val="00EE3194"/>
    <w:rsid w:val="00EF0B9A"/>
    <w:rsid w:val="00F02793"/>
    <w:rsid w:val="00F058C5"/>
    <w:rsid w:val="00F120A5"/>
    <w:rsid w:val="00F2224D"/>
    <w:rsid w:val="00F22886"/>
    <w:rsid w:val="00F31F82"/>
    <w:rsid w:val="00F32974"/>
    <w:rsid w:val="00F33EE1"/>
    <w:rsid w:val="00F413AE"/>
    <w:rsid w:val="00F459F4"/>
    <w:rsid w:val="00F51EAF"/>
    <w:rsid w:val="00F54785"/>
    <w:rsid w:val="00F5543D"/>
    <w:rsid w:val="00F55F93"/>
    <w:rsid w:val="00F577A3"/>
    <w:rsid w:val="00F62C13"/>
    <w:rsid w:val="00F63551"/>
    <w:rsid w:val="00F6662B"/>
    <w:rsid w:val="00F67F4D"/>
    <w:rsid w:val="00F74042"/>
    <w:rsid w:val="00F925D5"/>
    <w:rsid w:val="00F92E38"/>
    <w:rsid w:val="00F97267"/>
    <w:rsid w:val="00FA612A"/>
    <w:rsid w:val="00FB535B"/>
    <w:rsid w:val="00FC0E2B"/>
    <w:rsid w:val="00FC4B00"/>
    <w:rsid w:val="00FC7FFD"/>
    <w:rsid w:val="00FE1AD9"/>
    <w:rsid w:val="00FE3DFB"/>
    <w:rsid w:val="00FE5AF2"/>
    <w:rsid w:val="00FF145E"/>
    <w:rsid w:val="00FF313A"/>
    <w:rsid w:val="00FF665A"/>
    <w:rsid w:val="089C24EB"/>
    <w:rsid w:val="09B7331C"/>
    <w:rsid w:val="3CAD7341"/>
    <w:rsid w:val="3D020A33"/>
    <w:rsid w:val="41D61C94"/>
    <w:rsid w:val="61672829"/>
    <w:rsid w:val="757906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4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ind w:firstLine="640" w:firstLineChars="200"/>
    </w:pPr>
  </w:style>
  <w:style w:type="paragraph" w:styleId="4">
    <w:name w:val="annotation text"/>
    <w:basedOn w:val="1"/>
    <w:link w:val="17"/>
    <w:qFormat/>
    <w:uiPriority w:val="99"/>
    <w:pPr>
      <w:jc w:val="left"/>
    </w:pPr>
  </w:style>
  <w:style w:type="paragraph" w:styleId="5">
    <w:name w:val="Balloon Text"/>
    <w:basedOn w:val="1"/>
    <w:link w:val="16"/>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18"/>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批注框文本 Char"/>
    <w:basedOn w:val="11"/>
    <w:link w:val="5"/>
    <w:qFormat/>
    <w:uiPriority w:val="99"/>
    <w:rPr>
      <w:sz w:val="18"/>
      <w:szCs w:val="18"/>
    </w:rPr>
  </w:style>
  <w:style w:type="character" w:customStyle="1" w:styleId="17">
    <w:name w:val="批注文字 Char"/>
    <w:basedOn w:val="11"/>
    <w:link w:val="4"/>
    <w:qFormat/>
    <w:uiPriority w:val="99"/>
  </w:style>
  <w:style w:type="character" w:customStyle="1" w:styleId="18">
    <w:name w:val="批注主题 Char"/>
    <w:basedOn w:val="17"/>
    <w:link w:val="9"/>
    <w:qFormat/>
    <w:uiPriority w:val="99"/>
    <w:rPr>
      <w:b/>
      <w:bCs/>
    </w:rPr>
  </w:style>
  <w:style w:type="paragraph" w:styleId="19">
    <w:name w:val="List Paragraph"/>
    <w:basedOn w:val="1"/>
    <w:qFormat/>
    <w:uiPriority w:val="34"/>
    <w:pPr>
      <w:ind w:firstLine="420" w:firstLineChars="200"/>
    </w:pPr>
  </w:style>
  <w:style w:type="paragraph" w:customStyle="1" w:styleId="20">
    <w:name w:val="&quot;annotation tex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21">
    <w:name w:val="&quot;annotation subject&quot;"/>
    <w:basedOn w:val="20"/>
    <w:qFormat/>
    <w:uiPriority w:val="0"/>
    <w:rPr>
      <w:b/>
    </w:rPr>
  </w:style>
  <w:style w:type="paragraph" w:customStyle="1" w:styleId="22">
    <w:name w:val="&quot;footer&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23">
    <w:name w:val="&quot;Normal (Web)&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24">
    <w:name w:val="&quot;List Paragraph&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quot;Balloon Tex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26">
    <w:name w:val="&quot;header&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27">
    <w:name w:val="&quot;&quot;header&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28">
    <w:name w:val="&quot;&quot;footer&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29">
    <w:name w:val="&quot;&quot;Balloon Tex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30">
    <w:name w:val="&quot;&quot;Normal (Web)&quot;&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31">
    <w:name w:val="&quot;&quot;annotation subject&quot;&quot;"/>
    <w:qFormat/>
    <w:uiPriority w:val="0"/>
    <w:pPr>
      <w:widowControl w:val="0"/>
    </w:pPr>
    <w:rPr>
      <w:rFonts w:asciiTheme="minorHAnsi" w:hAnsiTheme="minorHAnsi" w:eastAsiaTheme="minorEastAsia" w:cstheme="minorBidi"/>
      <w:b/>
      <w:kern w:val="2"/>
      <w:sz w:val="21"/>
      <w:szCs w:val="22"/>
      <w:lang w:val="en-US" w:eastAsia="zh-CN" w:bidi="ar-SA"/>
    </w:rPr>
  </w:style>
  <w:style w:type="paragraph" w:customStyle="1" w:styleId="32">
    <w:name w:val="&quot;&quot;annotation tex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33">
    <w:name w:val="&quot;&quot;List Paragraph&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quot;&quot;&quot;List Paragraph&quot;&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quot;&quot;&quot;Normal (Web)&quot;&quot;&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36">
    <w:name w:val="&quot;&quot;&quot;annotation subject&quot;&quot;&quot;"/>
    <w:qFormat/>
    <w:uiPriority w:val="0"/>
    <w:pPr>
      <w:widowControl w:val="0"/>
    </w:pPr>
    <w:rPr>
      <w:rFonts w:asciiTheme="minorHAnsi" w:hAnsiTheme="minorHAnsi" w:eastAsiaTheme="minorEastAsia" w:cstheme="minorBidi"/>
      <w:b/>
      <w:kern w:val="2"/>
      <w:sz w:val="21"/>
      <w:szCs w:val="22"/>
      <w:lang w:val="en-US" w:eastAsia="zh-CN" w:bidi="ar-SA"/>
    </w:rPr>
  </w:style>
  <w:style w:type="paragraph" w:customStyle="1" w:styleId="37">
    <w:name w:val="&quot;&quot;&quot;Balloon Text&quo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38">
    <w:name w:val="&quot;&quot;&quot;footer&quot;&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39">
    <w:name w:val="&quot;&quot;&quot;annotation text&quo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40">
    <w:name w:val="&quot;&quot;&quot;header&quot;&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41">
    <w:name w:val="&quot;&quot;&quot;&quot;Balloon Text&quot;&quo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42">
    <w:name w:val="&quot;&quot;&quot;&quot;Normal (Web)&quot;&quot;&quot;&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43">
    <w:name w:val="&quot;&quot;&quot;&quot;header&quot;&quot;&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44">
    <w:name w:val="&quot;&quot;&quot;&quot;List Paragraph&quot;&quot;&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quot;&quot;&quot;&quot;footer&quot;&quot;&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46">
    <w:name w:val="&quot;&quot;&quot;&quot;annotation text&quot;&quo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47">
    <w:name w:val="&quot;&quot;&quot;&quot;annotation subject&quot;&quot;&quot;&quot;"/>
    <w:qFormat/>
    <w:uiPriority w:val="0"/>
    <w:pPr>
      <w:widowControl w:val="0"/>
    </w:pPr>
    <w:rPr>
      <w:rFonts w:asciiTheme="minorHAnsi" w:hAnsiTheme="minorHAnsi" w:eastAsiaTheme="minorEastAsia" w:cstheme="minorBidi"/>
      <w:b/>
      <w:kern w:val="2"/>
      <w:sz w:val="21"/>
      <w:szCs w:val="22"/>
      <w:lang w:val="en-US" w:eastAsia="zh-CN" w:bidi="ar-SA"/>
    </w:rPr>
  </w:style>
  <w:style w:type="character" w:customStyle="1" w:styleId="48">
    <w:name w:val="标题 2 Char"/>
    <w:basedOn w:val="11"/>
    <w:link w:val="3"/>
    <w:qFormat/>
    <w:uiPriority w:val="9"/>
    <w:rPr>
      <w:rFonts w:ascii="宋体" w:hAnsi="宋体" w:eastAsia="宋体" w:cs="宋体"/>
      <w:b/>
      <w:bCs/>
      <w:kern w:val="0"/>
      <w:sz w:val="36"/>
      <w:szCs w:val="36"/>
    </w:rPr>
  </w:style>
  <w:style w:type="paragraph" w:customStyle="1" w:styleId="4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68E7F-012F-41F4-9C24-25F798FD261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5746</Words>
  <Characters>5847</Characters>
  <Lines>42</Lines>
  <Paragraphs>11</Paragraphs>
  <TotalTime>25</TotalTime>
  <ScaleCrop>false</ScaleCrop>
  <LinksUpToDate>false</LinksUpToDate>
  <CharactersWithSpaces>5889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2022-11-14T03:08:00Z</dcterms:created>
  <dc:creator>王楠</dc:creator>
  <cp:lastModifiedBy>lenovo</cp:lastModifiedBy>
  <cp:lastPrinted>2022-11-29T00:26:35Z</cp:lastPrinted>
  <dcterms:modified xsi:type="dcterms:W3CDTF">2022-11-29T00:28:23Z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E3079E4491524A039DF515C4E0451B50</vt:lpwstr>
  </property>
</Properties>
</file>